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6F64E9" w:rsidRDefault="007426A4" w:rsidP="006F6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</w:t>
      </w:r>
      <w:r w:rsidR="004E5682">
        <w:rPr>
          <w:rFonts w:ascii="Arial" w:hAnsi="Arial" w:cs="Arial"/>
          <w:color w:val="000000" w:themeColor="text1"/>
          <w:sz w:val="22"/>
          <w:szCs w:val="22"/>
        </w:rPr>
        <w:t>.12.2023</w:t>
      </w:r>
      <w:r w:rsidR="006F64E9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6F64E9" w:rsidRDefault="0040497B" w:rsidP="006F64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Broj: 01-16-08</w:t>
      </w:r>
      <w:r w:rsidR="003F56BC">
        <w:rPr>
          <w:rFonts w:ascii="Arial" w:hAnsi="Arial" w:cs="Arial"/>
          <w:color w:val="000000" w:themeColor="text1"/>
          <w:sz w:val="22"/>
          <w:szCs w:val="22"/>
        </w:rPr>
        <w:t>/23</w:t>
      </w:r>
      <w:bookmarkStart w:id="0" w:name="_GoBack"/>
      <w:bookmarkEnd w:id="0"/>
    </w:p>
    <w:p w:rsidR="006F64E9" w:rsidRDefault="006F64E9" w:rsidP="006F64E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6F64E9" w:rsidRDefault="006F64E9" w:rsidP="006F64E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6F64E9" w:rsidRDefault="006F64E9" w:rsidP="006F64E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6F64E9" w:rsidRDefault="006F64E9" w:rsidP="006F64E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F64E9" w:rsidRDefault="006F64E9" w:rsidP="006F64E9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6F64E9" w:rsidRDefault="006F64E9" w:rsidP="006F64E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6F64E9" w:rsidRDefault="006F64E9" w:rsidP="00801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>
        <w:rPr>
          <w:rFonts w:ascii="Arial" w:hAnsi="Arial" w:cs="Arial"/>
          <w:b/>
          <w:sz w:val="28"/>
          <w:szCs w:val="28"/>
        </w:rPr>
        <w:t xml:space="preserve">Analiza uspjeha konferencija </w:t>
      </w:r>
      <w:r w:rsidR="00801EE0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>Internacionaln</w:t>
      </w:r>
      <w:r w:rsidR="000512D4">
        <w:rPr>
          <w:rFonts w:ascii="Arial" w:hAnsi="Arial" w:cs="Arial"/>
          <w:b/>
          <w:sz w:val="28"/>
          <w:szCs w:val="28"/>
        </w:rPr>
        <w:t>om univerzitetu Travnik</w:t>
      </w:r>
      <w:r w:rsidR="004E5682">
        <w:rPr>
          <w:rFonts w:ascii="Arial" w:hAnsi="Arial" w:cs="Arial"/>
          <w:b/>
          <w:sz w:val="28"/>
          <w:szCs w:val="28"/>
        </w:rPr>
        <w:t xml:space="preserve"> za 2023</w:t>
      </w:r>
      <w:r>
        <w:rPr>
          <w:rFonts w:ascii="Arial" w:hAnsi="Arial" w:cs="Arial"/>
          <w:b/>
          <w:sz w:val="28"/>
          <w:szCs w:val="28"/>
        </w:rPr>
        <w:t>. godinu</w:t>
      </w:r>
    </w:p>
    <w:p w:rsidR="006F64E9" w:rsidRDefault="006F64E9" w:rsidP="006F64E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6F64E9" w:rsidRDefault="006F64E9" w:rsidP="006F64E9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Procedurama za organizovanje naučnih konferencija i naučno-stručnih skupova dostavljam izvještaj pod nazivom Analiza uspjeha konferencija na Internacional</w:t>
      </w:r>
      <w:r w:rsidR="004E5682">
        <w:rPr>
          <w:rFonts w:ascii="Arial" w:hAnsi="Arial" w:cs="Arial"/>
        </w:rPr>
        <w:t>nom univerzitetu Travnik za 2023</w:t>
      </w:r>
      <w:r>
        <w:rPr>
          <w:rFonts w:ascii="Arial" w:hAnsi="Arial" w:cs="Arial"/>
        </w:rPr>
        <w:t xml:space="preserve">. godinu. </w:t>
      </w:r>
    </w:p>
    <w:p w:rsidR="006F64E9" w:rsidRDefault="006F64E9" w:rsidP="006F64E9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Senatu IUT.</w:t>
      </w:r>
    </w:p>
    <w:p w:rsidR="006F64E9" w:rsidRDefault="006F64E9" w:rsidP="006F64E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F64E9" w:rsidRDefault="006F64E9" w:rsidP="006F6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6F64E9" w:rsidRDefault="006F64E9" w:rsidP="006F6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6F64E9" w:rsidRDefault="006F64E9" w:rsidP="006F6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4E5682">
        <w:rPr>
          <w:rFonts w:ascii="Arial" w:hAnsi="Arial" w:cs="Arial"/>
        </w:rPr>
        <w:t>Ermedin Halilbegović</w:t>
      </w:r>
    </w:p>
    <w:p w:rsidR="006F64E9" w:rsidRDefault="006F64E9" w:rsidP="006F64E9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</w:p>
    <w:p w:rsidR="00AB3FA1" w:rsidRDefault="00AB3FA1" w:rsidP="007426A4">
      <w:pPr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</w:p>
    <w:p w:rsidR="00AB3FA1" w:rsidRDefault="00AB3FA1" w:rsidP="00AB3F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 USPJEHA KONFERENCIJA NA INTERNACIONALNOM UNIVERZITETU TRAVNIK ZA 2023. GODINU</w:t>
      </w:r>
    </w:p>
    <w:p w:rsidR="006F64E9" w:rsidRDefault="006F64E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B3FA1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B3FA1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B3FA1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B3FA1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B3FA1" w:rsidRPr="006D40B2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AB3FA1" w:rsidRPr="006D40B2" w:rsidRDefault="00AB3FA1" w:rsidP="00AB3FA1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AB3FA1" w:rsidRPr="006D40B2" w:rsidRDefault="00AB3FA1" w:rsidP="00AB3FA1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AB3FA1" w:rsidRDefault="00AB3FA1" w:rsidP="00AB3FA1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6D40B2">
        <w:rPr>
          <w:rFonts w:ascii="Arial" w:hAnsi="Arial" w:cs="Arial"/>
          <w:b/>
          <w:color w:val="000000" w:themeColor="text1"/>
        </w:rPr>
        <w:t>Travnik, decembar 2023. godine</w:t>
      </w:r>
    </w:p>
    <w:p w:rsidR="007426A4" w:rsidRPr="006D40B2" w:rsidRDefault="007426A4" w:rsidP="00AB3FA1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AB3FA1" w:rsidRDefault="00AB3FA1" w:rsidP="007426A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4501011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p w:rsidR="00AB3FA1" w:rsidRDefault="00AB3FA1" w:rsidP="00AB3FA1">
          <w:pPr>
            <w:pStyle w:val="TOCHeading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AB3FA1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AB3FA1" w:rsidRPr="00AB3FA1" w:rsidRDefault="00AB3FA1" w:rsidP="00AB3FA1"/>
        <w:p w:rsidR="007426A4" w:rsidRPr="007426A4" w:rsidRDefault="00AB3FA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7426A4">
            <w:rPr>
              <w:rFonts w:ascii="Arial" w:hAnsi="Arial" w:cs="Arial"/>
              <w:sz w:val="24"/>
              <w:szCs w:val="24"/>
            </w:rPr>
            <w:fldChar w:fldCharType="begin"/>
          </w:r>
          <w:r w:rsidRPr="007426A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7426A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728398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UVOD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_Toc158728398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6A4" w:rsidRPr="007426A4" w:rsidRDefault="003F56BC">
          <w:pPr>
            <w:pStyle w:val="TOC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28399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7426A4" w:rsidRPr="007426A4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Analiza uspjeha konferencija na IUT za 2023. godinu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_Toc158728399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6A4" w:rsidRPr="007426A4" w:rsidRDefault="003F56BC">
          <w:pPr>
            <w:pStyle w:val="TOC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28400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7426A4" w:rsidRPr="007426A4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Lista objavljenih radova na konferenciji u 2023. godini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_Toc158728400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6A4" w:rsidRPr="007426A4" w:rsidRDefault="003F56BC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28401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1.2.1</w:t>
            </w:r>
            <w:r w:rsidR="007426A4" w:rsidRPr="007426A4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_Toc158728401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6A4" w:rsidRPr="007426A4" w:rsidRDefault="003F56BC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28402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1.2.2</w:t>
            </w:r>
            <w:r w:rsidR="007426A4" w:rsidRPr="007426A4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10th INTERNATIONAL SCIENTIFIC CONFERENCE ON CLIMATE CHANGE, ECONOMIC DEVELOPMENT, ENVIRONMENT AND PEOPLE (CCEDEP 2023) koju organizuje Internacionalni univerzitet Travnik u Travniku, u saradnji sa ACEU - "Alijansom univerziteta Centralne i Istočne Evrope",  25.10.2023. godine.-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_Toc158728402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6A4" w:rsidRPr="007426A4" w:rsidRDefault="003F56BC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28403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1.2.3</w:t>
            </w:r>
            <w:r w:rsidR="007426A4" w:rsidRPr="007426A4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_Toc158728403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26A4" w:rsidRPr="007426A4" w:rsidRDefault="003F56B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728404" w:history="1">
            <w:r w:rsidR="007426A4" w:rsidRPr="007426A4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ZAKLJUČAK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_Toc158728404 \h </w:instrTex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34D37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7426A4" w:rsidRPr="007426A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B3FA1" w:rsidRPr="005053BF" w:rsidRDefault="00AB3FA1">
          <w:pPr>
            <w:rPr>
              <w:rFonts w:ascii="Arial" w:hAnsi="Arial" w:cs="Arial"/>
              <w:sz w:val="24"/>
              <w:szCs w:val="24"/>
            </w:rPr>
          </w:pPr>
          <w:r w:rsidRPr="007426A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B3FA1" w:rsidRPr="005053BF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sz w:val="24"/>
          <w:szCs w:val="24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B3FA1" w:rsidRDefault="00AB3FA1" w:rsidP="007426A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31783" w:rsidRPr="005A00B9" w:rsidRDefault="00196CAD" w:rsidP="00AB3FA1">
      <w:pPr>
        <w:pStyle w:val="Heading1"/>
        <w:numPr>
          <w:ilvl w:val="0"/>
          <w:numId w:val="0"/>
        </w:numPr>
        <w:ind w:left="432" w:hanging="432"/>
      </w:pPr>
      <w:bookmarkStart w:id="1" w:name="_Toc158728398"/>
      <w:r w:rsidRPr="005A00B9">
        <w:lastRenderedPageBreak/>
        <w:t>UVOD</w:t>
      </w:r>
      <w:bookmarkEnd w:id="1"/>
    </w:p>
    <w:p w:rsidR="000560F7" w:rsidRDefault="000560F7" w:rsidP="000560F7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801EE0" w:rsidRDefault="00801EE0" w:rsidP="00801EE0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801EE0" w:rsidRDefault="00801EE0" w:rsidP="00801EE0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801EE0" w:rsidRPr="00AE292E" w:rsidRDefault="00B56E73" w:rsidP="00801EE0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</w:t>
      </w:r>
      <w:r w:rsidR="00801EE0"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801EE0" w:rsidRPr="00AE292E" w:rsidRDefault="00801EE0" w:rsidP="00801EE0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801EE0" w:rsidRPr="00AE292E" w:rsidRDefault="00B56E73" w:rsidP="00801EE0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27. MEĐUNARODNA KONFERENCIJA</w:t>
      </w:r>
      <w:r w:rsidR="00801EE0"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801EE0" w:rsidRDefault="00801EE0" w:rsidP="00801EE0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Sve tri konferencije su organizovane sa međunarodnim akademskim partnerima</w:t>
      </w:r>
      <w:r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Bugarska, Sjeverna Makedonija, Srbija, Albanija, Hrvatska, Slovačka, Slovenija, Južna Afrika. </w:t>
      </w:r>
    </w:p>
    <w:p w:rsidR="00801EE0" w:rsidRDefault="00801EE0" w:rsidP="00801EE0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801EE0" w:rsidRDefault="00801EE0" w:rsidP="00801EE0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rad u odnosu na prethodnu godine gdje smo imali 7 radova. </w:t>
      </w:r>
    </w:p>
    <w:p w:rsidR="00801EE0" w:rsidRDefault="00801EE0" w:rsidP="00801EE0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801EE0" w:rsidRDefault="00801EE0" w:rsidP="00801EE0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801EE0" w:rsidRPr="002F7EB8" w:rsidRDefault="003F56BC" w:rsidP="00801EE0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hyperlink r:id="rId8" w:history="1">
        <w:r w:rsidR="00801EE0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801EE0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801EE0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801EE0" w:rsidRDefault="00801EE0" w:rsidP="00801EE0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801EE0" w:rsidRPr="00801EE0" w:rsidRDefault="00801EE0" w:rsidP="00801EE0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801EE0" w:rsidRPr="00801EE0" w:rsidRDefault="00801EE0" w:rsidP="00801EE0">
      <w:pPr>
        <w:pStyle w:val="Heading2"/>
      </w:pPr>
      <w:bookmarkStart w:id="2" w:name="_Toc158728399"/>
      <w:r w:rsidRPr="0061422A">
        <w:t>Analiza uspjeha konferencija</w:t>
      </w:r>
      <w:r>
        <w:t xml:space="preserve"> na IUT za 2023</w:t>
      </w:r>
      <w:r w:rsidRPr="0061422A">
        <w:t>. godinu</w:t>
      </w:r>
      <w:bookmarkEnd w:id="2"/>
    </w:p>
    <w:p w:rsidR="00801EE0" w:rsidRDefault="00801EE0" w:rsidP="00801EE0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801EE0" w:rsidRPr="007426A4" w:rsidRDefault="00801EE0" w:rsidP="007426A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801EE0" w:rsidRPr="007426A4" w:rsidRDefault="00801EE0" w:rsidP="007426A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koautora – 55;</w:t>
      </w:r>
    </w:p>
    <w:p w:rsidR="00801EE0" w:rsidRPr="007426A4" w:rsidRDefault="00801EE0" w:rsidP="007426A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3F7A07"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radova – 49; broj autora i koautora – 109</w:t>
      </w:r>
      <w:r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</w:t>
      </w:r>
    </w:p>
    <w:p w:rsidR="007426A4" w:rsidRPr="007426A4" w:rsidRDefault="007426A4" w:rsidP="007426A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7426A4" w:rsidRDefault="007426A4" w:rsidP="007426A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7426A4" w:rsidRPr="007426A4" w:rsidRDefault="007426A4" w:rsidP="007426A4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7426A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7426A4">
        <w:rPr>
          <w:rFonts w:ascii="Arial" w:hAnsi="Arial" w:cs="Arial"/>
          <w:sz w:val="24"/>
          <w:szCs w:val="24"/>
        </w:rPr>
        <w:t xml:space="preserve"> nastavnici i saradnici IUT ukupno</w:t>
      </w:r>
      <w:r w:rsidRPr="007426A4">
        <w:rPr>
          <w:rFonts w:ascii="Arial" w:hAnsi="Arial" w:cs="Arial"/>
          <w:spacing w:val="19"/>
          <w:sz w:val="24"/>
          <w:szCs w:val="24"/>
        </w:rPr>
        <w:t xml:space="preserve"> </w:t>
      </w:r>
      <w:r w:rsidRPr="007426A4">
        <w:rPr>
          <w:rFonts w:ascii="Arial" w:hAnsi="Arial" w:cs="Arial"/>
          <w:bCs/>
          <w:sz w:val="24"/>
          <w:szCs w:val="24"/>
        </w:rPr>
        <w:t>objavili</w:t>
      </w:r>
      <w:r w:rsidRPr="007426A4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7426A4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7426A4">
        <w:rPr>
          <w:rFonts w:ascii="Arial" w:hAnsi="Arial" w:cs="Arial"/>
          <w:bCs/>
          <w:sz w:val="24"/>
          <w:szCs w:val="24"/>
        </w:rPr>
        <w:t>radova</w:t>
      </w:r>
      <w:r w:rsidRPr="007426A4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7426A4">
        <w:rPr>
          <w:rFonts w:ascii="Arial" w:hAnsi="Arial" w:cs="Arial"/>
          <w:bCs/>
          <w:sz w:val="24"/>
          <w:szCs w:val="24"/>
        </w:rPr>
        <w:t xml:space="preserve">odnosno 63,2% (od ukupnog broja radova), </w:t>
      </w:r>
      <w:r w:rsidRPr="007426A4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7426A4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3F7A07" w:rsidRPr="003F7A07" w:rsidRDefault="003F7A07" w:rsidP="003F7A07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801EE0" w:rsidRDefault="00801EE0" w:rsidP="00801EE0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413A2">
        <w:rPr>
          <w:rFonts w:ascii="Arial" w:hAnsi="Arial" w:cs="Arial"/>
          <w:bCs/>
          <w:sz w:val="24"/>
          <w:szCs w:val="24"/>
        </w:rPr>
        <w:t>Grafikon 1. i 2. prikazuju procentualno izražen broj objavljenih radova i autora sa IUT-a i ostalih autora.</w:t>
      </w: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22A51" w:rsidRDefault="00122A51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812347" w:rsidRDefault="00812347" w:rsidP="00BE0DC3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812347" w:rsidRDefault="00812347" w:rsidP="005A00B9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</w:p>
    <w:p w:rsidR="007426A4" w:rsidRDefault="007426A4" w:rsidP="005A00B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594DFE" w:rsidRDefault="00594DFE" w:rsidP="005A00B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594DF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Grafikon 1. Procentualno izražen</w:t>
      </w:r>
      <w:r w:rsidR="00974012">
        <w:rPr>
          <w:rFonts w:ascii="Arial" w:hAnsi="Arial" w:cs="Arial"/>
          <w:b/>
          <w:bCs/>
          <w:sz w:val="24"/>
          <w:szCs w:val="24"/>
          <w:lang w:val="bs-Latn-BA"/>
        </w:rPr>
        <w:t xml:space="preserve"> broj objavljenih radova autora</w:t>
      </w:r>
      <w:r w:rsidRPr="00594DFE">
        <w:rPr>
          <w:rFonts w:ascii="Arial" w:hAnsi="Arial" w:cs="Arial"/>
          <w:b/>
          <w:bCs/>
          <w:sz w:val="24"/>
          <w:szCs w:val="24"/>
          <w:lang w:val="bs-Latn-BA"/>
        </w:rPr>
        <w:t xml:space="preserve"> sa IUT i ostalih </w:t>
      </w:r>
      <w:r w:rsidR="003F7A07">
        <w:rPr>
          <w:rFonts w:ascii="Arial" w:hAnsi="Arial" w:cs="Arial"/>
          <w:b/>
          <w:bCs/>
          <w:sz w:val="24"/>
          <w:szCs w:val="24"/>
          <w:lang w:val="bs-Latn-BA"/>
        </w:rPr>
        <w:t>radova</w:t>
      </w:r>
    </w:p>
    <w:p w:rsidR="007426A4" w:rsidRDefault="007426A4" w:rsidP="005A00B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5A00B9" w:rsidRPr="005A00B9" w:rsidRDefault="00801EE0" w:rsidP="005A00B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10FC3F1" wp14:editId="74DCB330">
            <wp:extent cx="5410200" cy="31146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00B9" w:rsidRDefault="005A00B9" w:rsidP="00362B71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594DFE" w:rsidRDefault="00594DFE" w:rsidP="007426A4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594DFE">
        <w:rPr>
          <w:rFonts w:ascii="Arial" w:hAnsi="Arial" w:cs="Arial"/>
          <w:b/>
          <w:bCs/>
          <w:sz w:val="24"/>
          <w:szCs w:val="24"/>
          <w:lang w:val="bs-Latn-BA"/>
        </w:rPr>
        <w:t>Grafikon 2. Procentualno izražen broj autora sa IUT i ostalih autora</w:t>
      </w:r>
    </w:p>
    <w:p w:rsidR="007426A4" w:rsidRPr="007426A4" w:rsidRDefault="007426A4" w:rsidP="007426A4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3F7A07" w:rsidRDefault="00801EE0" w:rsidP="007426A4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1D332F2" wp14:editId="2E564728">
            <wp:extent cx="5372100" cy="28860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80A" w:rsidRDefault="00801EE0" w:rsidP="00801EE0">
      <w:pPr>
        <w:spacing w:line="276" w:lineRule="auto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lastRenderedPageBreak/>
        <w:t>Na osnovu prethodna dva grafikona možemo zaključiti da preko 50% autora i koautora, koji su objavili radove na ovim konferencijama su zaposleni na IUT, odnosno više od 40% autora dolazi izvan IUT. Ova činjenica nam ukazuje da postoji prilično dobra zainteresovanost istraživača i naučnih radnika za konferencije koje organizuje IUT.</w:t>
      </w:r>
    </w:p>
    <w:p w:rsidR="00801EE0" w:rsidRPr="00801EE0" w:rsidRDefault="00801EE0" w:rsidP="00801EE0">
      <w:pPr>
        <w:spacing w:line="276" w:lineRule="auto"/>
        <w:rPr>
          <w:rFonts w:ascii="Arial" w:hAnsi="Arial" w:cs="Arial"/>
          <w:bCs/>
          <w:sz w:val="24"/>
          <w:szCs w:val="24"/>
          <w:lang w:val="bs-Latn-BA"/>
        </w:rPr>
      </w:pPr>
    </w:p>
    <w:p w:rsidR="00BC734E" w:rsidRPr="007426A4" w:rsidRDefault="000F52DB" w:rsidP="007426A4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autora sa IUT u ukupnom broju i po organizacionim jedinicama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06"/>
        <w:gridCol w:w="1321"/>
        <w:gridCol w:w="1368"/>
        <w:gridCol w:w="1341"/>
        <w:gridCol w:w="886"/>
        <w:gridCol w:w="1322"/>
        <w:gridCol w:w="901"/>
      </w:tblGrid>
      <w:tr w:rsidR="00801EE0" w:rsidTr="0074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01EE0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32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- IUT</w:t>
            </w:r>
          </w:p>
        </w:tc>
        <w:tc>
          <w:tcPr>
            <w:tcW w:w="1368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- IUT</w:t>
            </w:r>
          </w:p>
        </w:tc>
        <w:tc>
          <w:tcPr>
            <w:tcW w:w="2227" w:type="dxa"/>
            <w:gridSpan w:val="2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po organizacionoj jedinici</w:t>
            </w:r>
          </w:p>
        </w:tc>
        <w:tc>
          <w:tcPr>
            <w:tcW w:w="2223" w:type="dxa"/>
            <w:gridSpan w:val="2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po organizacionoj jedinici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Međunarodno savjetovanje</w:t>
            </w:r>
          </w:p>
          <w:p w:rsidR="00801EE0" w:rsidRPr="005A266E" w:rsidRDefault="00801EE0" w:rsidP="003F7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EE0" w:rsidRPr="005A266E" w:rsidRDefault="00801EE0" w:rsidP="003F7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EE0" w:rsidRDefault="00801EE0" w:rsidP="003F7A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01EE0" w:rsidRPr="005A266E" w:rsidRDefault="00801EE0" w:rsidP="003F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68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886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901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886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2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901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886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901" w:type="dxa"/>
            <w:shd w:val="clear" w:color="auto" w:fill="E5B8B7" w:themeFill="accent2" w:themeFillTint="66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01EE0" w:rsidTr="007426A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  <w:p w:rsidR="00801EE0" w:rsidRPr="005A266E" w:rsidRDefault="00801EE0" w:rsidP="003F7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EE0" w:rsidRPr="005A266E" w:rsidRDefault="00801EE0" w:rsidP="003F7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1EE0" w:rsidRDefault="00801EE0" w:rsidP="003F7A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01EE0" w:rsidRPr="005A266E" w:rsidRDefault="00801EE0" w:rsidP="003F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8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321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68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01EE0" w:rsidTr="007426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01EE0" w:rsidTr="007426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01EE0" w:rsidTr="007426A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01EE0" w:rsidTr="007426A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 w:val="restart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321" w:type="dxa"/>
            <w:vMerge w:val="restart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68" w:type="dxa"/>
            <w:vMerge w:val="restart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</w:t>
            </w:r>
          </w:p>
        </w:tc>
        <w:tc>
          <w:tcPr>
            <w:tcW w:w="901" w:type="dxa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886" w:type="dxa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PFT</w:t>
            </w:r>
          </w:p>
        </w:tc>
        <w:tc>
          <w:tcPr>
            <w:tcW w:w="901" w:type="dxa"/>
          </w:tcPr>
          <w:p w:rsidR="00801EE0" w:rsidRDefault="003F7A07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FPTN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01EE0" w:rsidTr="0074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SFT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01EE0" w:rsidTr="007426A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886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</w:t>
            </w:r>
          </w:p>
        </w:tc>
        <w:tc>
          <w:tcPr>
            <w:tcW w:w="901" w:type="dxa"/>
          </w:tcPr>
          <w:p w:rsidR="00801EE0" w:rsidRDefault="00801EE0" w:rsidP="003F7A0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01EE0" w:rsidRDefault="00801EE0" w:rsidP="00801EE0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Na održanim konfer</w:t>
      </w:r>
      <w:r w:rsidR="003F7A07">
        <w:rPr>
          <w:rFonts w:ascii="Arial" w:hAnsi="Arial" w:cs="Arial"/>
          <w:sz w:val="24"/>
          <w:szCs w:val="24"/>
          <w:lang w:val="bs-Latn-BA"/>
        </w:rPr>
        <w:t>encijama ukupno je objavljeno 79 radova od strane 142</w:t>
      </w:r>
      <w:r>
        <w:rPr>
          <w:rFonts w:ascii="Arial" w:hAnsi="Arial" w:cs="Arial"/>
          <w:sz w:val="24"/>
          <w:szCs w:val="24"/>
          <w:lang w:val="bs-Latn-BA"/>
        </w:rPr>
        <w:t xml:space="preserve"> autora i koautora IUT-a, te možemo zaključiti da je na 26. Međunarodnoj konferenciji bilo objavljeno najviše radova odnosno ukupno 39 od strane 78 autora.</w:t>
      </w:r>
    </w:p>
    <w:p w:rsidR="00801EE0" w:rsidRPr="00F01E41" w:rsidRDefault="00801EE0" w:rsidP="00801EE0">
      <w:pPr>
        <w:widowControl w:val="0"/>
        <w:autoSpaceDE w:val="0"/>
        <w:autoSpaceDN w:val="0"/>
        <w:adjustRightInd w:val="0"/>
        <w:spacing w:line="276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01EE0" w:rsidRPr="00F01E41" w:rsidRDefault="00801EE0" w:rsidP="00801EE0">
      <w:pPr>
        <w:rPr>
          <w:rFonts w:ascii="Arial" w:hAnsi="Arial" w:cs="Arial"/>
          <w:sz w:val="24"/>
          <w:szCs w:val="24"/>
          <w:lang w:val="bs-Latn-BA"/>
        </w:rPr>
      </w:pPr>
      <w:r w:rsidRPr="00F01E41">
        <w:rPr>
          <w:rFonts w:ascii="Arial" w:hAnsi="Arial" w:cs="Arial"/>
          <w:sz w:val="24"/>
          <w:szCs w:val="24"/>
          <w:lang w:val="bs-Latn-BA"/>
        </w:rPr>
        <w:t>Dakle, na osnovu prethodne tabele možemo poredati učešće zaposlenika po organizacionoj jedinici u konferencijama prema objavljenom broju radova:</w:t>
      </w:r>
    </w:p>
    <w:p w:rsidR="00801EE0" w:rsidRDefault="00801EE0" w:rsidP="00801EE0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01EE0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Ekonomski fakultet – 18 radova odnosno 22,78%</w:t>
      </w:r>
    </w:p>
    <w:p w:rsidR="00801EE0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Fakultet politehničkih nauka – 21 radova odnosno 26,58%</w:t>
      </w:r>
    </w:p>
    <w:p w:rsidR="00801EE0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Pravni fakultet – </w:t>
      </w:r>
      <w:r w:rsidR="003F7A07">
        <w:rPr>
          <w:rFonts w:ascii="Arial" w:hAnsi="Arial" w:cs="Arial"/>
          <w:sz w:val="24"/>
          <w:szCs w:val="24"/>
        </w:rPr>
        <w:t>6 radova odnosno 7,</w:t>
      </w:r>
      <w:r>
        <w:rPr>
          <w:rFonts w:ascii="Arial" w:hAnsi="Arial" w:cs="Arial"/>
          <w:sz w:val="24"/>
          <w:szCs w:val="24"/>
        </w:rPr>
        <w:t>5</w:t>
      </w:r>
      <w:r w:rsidR="003F7A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</w:p>
    <w:p w:rsidR="00801EE0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Saobraćajni fakultet – 9 radova odnosno 11,39%</w:t>
      </w:r>
    </w:p>
    <w:p w:rsidR="00801EE0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Fakultet informacionih tehnologija – 14 radova odnosno 17,72%</w:t>
      </w:r>
    </w:p>
    <w:p w:rsidR="00801EE0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Ekološki fakultet – 8 radova odnosno 10,13%</w:t>
      </w:r>
    </w:p>
    <w:p w:rsidR="00801EE0" w:rsidRPr="00F01E41" w:rsidRDefault="00801EE0" w:rsidP="00801E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Fakultet za medije i komunikacije – 3 rad odnosno 3,8%</w:t>
      </w:r>
    </w:p>
    <w:p w:rsidR="00E2233C" w:rsidRDefault="00E2233C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E2233C" w:rsidRPr="00801EE0" w:rsidRDefault="00E2233C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801EE0">
        <w:rPr>
          <w:rFonts w:ascii="Arial" w:hAnsi="Arial" w:cs="Arial"/>
          <w:b/>
          <w:sz w:val="24"/>
          <w:szCs w:val="24"/>
          <w:lang w:val="bs-Latn-BA"/>
        </w:rPr>
        <w:t>Grafikon br. 3. Procentualni pri</w:t>
      </w:r>
      <w:r w:rsidR="007426A4">
        <w:rPr>
          <w:rFonts w:ascii="Arial" w:hAnsi="Arial" w:cs="Arial"/>
          <w:b/>
          <w:sz w:val="24"/>
          <w:szCs w:val="24"/>
          <w:lang w:val="bs-Latn-BA"/>
        </w:rPr>
        <w:t>kaz objavljenih radova autora organizacione jedinice</w:t>
      </w:r>
      <w:r w:rsidRPr="00801EE0">
        <w:rPr>
          <w:rFonts w:ascii="Arial" w:hAnsi="Arial" w:cs="Arial"/>
          <w:b/>
          <w:sz w:val="24"/>
          <w:szCs w:val="24"/>
          <w:lang w:val="bs-Latn-BA"/>
        </w:rPr>
        <w:t xml:space="preserve"> IUT</w:t>
      </w:r>
    </w:p>
    <w:p w:rsidR="005B1F2E" w:rsidRDefault="00801EE0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EF489D2" wp14:editId="46581149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54102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524" y="21465"/>
                <wp:lineTo x="21524" y="0"/>
                <wp:lineTo x="0" y="0"/>
              </wp:wrapPolygon>
            </wp:wrapThrough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F2E" w:rsidRDefault="005B1F2E" w:rsidP="00C11A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5B1F2E" w:rsidRDefault="005B1F2E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C11A66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5B1F2E" w:rsidRDefault="005B1F2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5B1F2E" w:rsidRDefault="005B1F2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C2286" w:rsidRDefault="002C2286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nastavku je dat hronološki prikaz ukupnog broja auto</w:t>
      </w:r>
      <w:r w:rsidR="00801EE0">
        <w:rPr>
          <w:rFonts w:ascii="Arial" w:hAnsi="Arial" w:cs="Arial"/>
          <w:sz w:val="24"/>
          <w:szCs w:val="24"/>
          <w:lang w:val="bs-Latn-BA"/>
        </w:rPr>
        <w:t>ra, radova i prikaz autora po organizacionoj jedinici</w:t>
      </w:r>
      <w:r>
        <w:rPr>
          <w:rFonts w:ascii="Arial" w:hAnsi="Arial" w:cs="Arial"/>
          <w:sz w:val="24"/>
          <w:szCs w:val="24"/>
          <w:lang w:val="bs-Latn-BA"/>
        </w:rPr>
        <w:t>, studentima i ostalim aut</w:t>
      </w:r>
      <w:r w:rsidR="00801EE0">
        <w:rPr>
          <w:rFonts w:ascii="Arial" w:hAnsi="Arial" w:cs="Arial"/>
          <w:sz w:val="24"/>
          <w:szCs w:val="24"/>
          <w:lang w:val="bs-Latn-BA"/>
        </w:rPr>
        <w:t>orima od 2010. godine pa do 2023</w:t>
      </w:r>
      <w:r>
        <w:rPr>
          <w:rFonts w:ascii="Arial" w:hAnsi="Arial" w:cs="Arial"/>
          <w:sz w:val="24"/>
          <w:szCs w:val="24"/>
          <w:lang w:val="bs-Latn-BA"/>
        </w:rPr>
        <w:t>. godine.</w:t>
      </w:r>
    </w:p>
    <w:p w:rsidR="00974F5E" w:rsidRDefault="00974F5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96347E" w:rsidRDefault="009304E7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4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Hronološki prikaz b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>roj</w:t>
      </w:r>
      <w:r>
        <w:rPr>
          <w:rFonts w:ascii="Arial" w:hAnsi="Arial" w:cs="Arial"/>
          <w:b/>
          <w:sz w:val="24"/>
          <w:szCs w:val="24"/>
          <w:lang w:val="bs-Latn-BA"/>
        </w:rPr>
        <w:t>a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 autora na održani</w:t>
      </w:r>
      <w:r w:rsidR="0096347E">
        <w:rPr>
          <w:rFonts w:ascii="Arial" w:hAnsi="Arial" w:cs="Arial"/>
          <w:b/>
          <w:sz w:val="24"/>
          <w:szCs w:val="24"/>
          <w:lang w:val="bs-Latn-BA"/>
        </w:rPr>
        <w:t xml:space="preserve">m 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>konferencijam</w:t>
      </w:r>
      <w:r w:rsidR="00E6243C">
        <w:rPr>
          <w:rFonts w:ascii="Arial" w:hAnsi="Arial" w:cs="Arial"/>
          <w:b/>
          <w:sz w:val="24"/>
          <w:szCs w:val="24"/>
          <w:lang w:val="bs-Latn-BA"/>
        </w:rPr>
        <w:t>a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 od 2010</w:t>
      </w:r>
      <w:r w:rsidR="0096347E">
        <w:rPr>
          <w:rFonts w:ascii="Arial" w:hAnsi="Arial" w:cs="Arial"/>
          <w:b/>
          <w:sz w:val="24"/>
          <w:szCs w:val="24"/>
          <w:lang w:val="bs-Latn-BA"/>
        </w:rPr>
        <w:t>.</w:t>
      </w:r>
      <w:r w:rsidR="00801EE0">
        <w:rPr>
          <w:rFonts w:ascii="Arial" w:hAnsi="Arial" w:cs="Arial"/>
          <w:b/>
          <w:sz w:val="24"/>
          <w:szCs w:val="24"/>
          <w:lang w:val="bs-Latn-BA"/>
        </w:rPr>
        <w:t xml:space="preserve"> do 2023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>. godine</w:t>
      </w:r>
    </w:p>
    <w:p w:rsidR="005A5CDB" w:rsidRDefault="005A5CDB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5A5CDB" w:rsidRDefault="00B56E73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B9BE8C0" wp14:editId="673CCF4F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56A4" w:rsidRDefault="002056A4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B56E73" w:rsidRDefault="00B56E73" w:rsidP="00B56E73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Na osnovu </w:t>
      </w:r>
      <w:r w:rsidRPr="003E64BA">
        <w:rPr>
          <w:rFonts w:ascii="Arial" w:hAnsi="Arial" w:cs="Arial"/>
          <w:sz w:val="24"/>
          <w:szCs w:val="24"/>
          <w:lang w:val="bs-Latn-BA"/>
        </w:rPr>
        <w:t>grafikon</w:t>
      </w:r>
      <w:r>
        <w:rPr>
          <w:rFonts w:ascii="Arial" w:hAnsi="Arial" w:cs="Arial"/>
          <w:sz w:val="24"/>
          <w:szCs w:val="24"/>
          <w:lang w:val="bs-Latn-BA"/>
        </w:rPr>
        <w:t xml:space="preserve">a možemo zaključiti da se u 2023. godini povećao ukupan broj autora i </w:t>
      </w:r>
      <w:r w:rsidRPr="003E64BA">
        <w:rPr>
          <w:rFonts w:ascii="Arial" w:hAnsi="Arial" w:cs="Arial"/>
          <w:sz w:val="24"/>
          <w:szCs w:val="24"/>
          <w:lang w:val="bs-Latn-BA"/>
        </w:rPr>
        <w:t>broj aut</w:t>
      </w:r>
      <w:r>
        <w:rPr>
          <w:rFonts w:ascii="Arial" w:hAnsi="Arial" w:cs="Arial"/>
          <w:sz w:val="24"/>
          <w:szCs w:val="24"/>
          <w:lang w:val="bs-Latn-BA"/>
        </w:rPr>
        <w:t>ora sa IUT u odnosu na prethodnu godinu, ali iz razloga što je veći broj konferencija bio organizovan ove godine.</w:t>
      </w: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C11A66" w:rsidRDefault="00C11A66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C11A66" w:rsidRDefault="00C11A66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C11A66" w:rsidRDefault="00C11A66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AB3FA1" w:rsidRDefault="00AB3FA1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AB3FA1" w:rsidRDefault="00AB3FA1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AB3FA1" w:rsidRDefault="00AB3FA1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B56E73" w:rsidRDefault="00B56E73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804497" w:rsidRPr="00B56E73" w:rsidRDefault="00B56E73" w:rsidP="00B56E73">
      <w:pPr>
        <w:widowControl w:val="0"/>
        <w:autoSpaceDE w:val="0"/>
        <w:autoSpaceDN w:val="0"/>
        <w:adjustRightInd w:val="0"/>
        <w:spacing w:before="13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802AFD">
        <w:rPr>
          <w:rFonts w:ascii="Arial" w:hAnsi="Arial" w:cs="Arial"/>
          <w:b/>
          <w:sz w:val="24"/>
          <w:szCs w:val="24"/>
          <w:lang w:val="bs-Latn-BA"/>
        </w:rPr>
        <w:lastRenderedPageBreak/>
        <w:t>5. Grafikon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Hronološki prikaz ukupnog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broj</w:t>
      </w:r>
      <w:r>
        <w:rPr>
          <w:rFonts w:ascii="Arial" w:hAnsi="Arial" w:cs="Arial"/>
          <w:b/>
          <w:sz w:val="24"/>
          <w:szCs w:val="24"/>
          <w:lang w:val="bs-Latn-BA"/>
        </w:rPr>
        <w:t>a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radova na </w:t>
      </w:r>
      <w:r w:rsidR="003F7A07">
        <w:rPr>
          <w:rFonts w:ascii="Arial" w:hAnsi="Arial" w:cs="Arial"/>
          <w:b/>
          <w:sz w:val="24"/>
          <w:szCs w:val="24"/>
          <w:lang w:val="bs-Latn-BA"/>
        </w:rPr>
        <w:t>održanim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konferencijama od 2010</w:t>
      </w:r>
      <w:r w:rsidR="003F7A07">
        <w:rPr>
          <w:rFonts w:ascii="Arial" w:hAnsi="Arial" w:cs="Arial"/>
          <w:b/>
          <w:sz w:val="24"/>
          <w:szCs w:val="24"/>
          <w:lang w:val="bs-Latn-BA"/>
        </w:rPr>
        <w:t>. do 2023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. godine</w:t>
      </w:r>
    </w:p>
    <w:p w:rsidR="00D31608" w:rsidRDefault="00D31608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9D2FB3" w:rsidRDefault="00B56E73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EA076E" wp14:editId="072BD8DD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2FB3" w:rsidRDefault="009D2FB3" w:rsidP="0096347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bCs/>
          <w:sz w:val="24"/>
          <w:szCs w:val="24"/>
        </w:rPr>
      </w:pPr>
    </w:p>
    <w:p w:rsidR="00B56E73" w:rsidRPr="00804497" w:rsidRDefault="00B56E73" w:rsidP="00B56E73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 ukupnom broju objavljenih radova, 2023. godina je bila bolja u odnosu na prethodnu godinu. </w:t>
      </w:r>
      <w:r w:rsidRPr="001E6773">
        <w:rPr>
          <w:rFonts w:ascii="Arial" w:hAnsi="Arial" w:cs="Arial"/>
          <w:bCs/>
          <w:sz w:val="24"/>
          <w:szCs w:val="24"/>
        </w:rPr>
        <w:t>Broj radova zaposlenika sa svih or</w:t>
      </w:r>
      <w:r>
        <w:rPr>
          <w:rFonts w:ascii="Arial" w:hAnsi="Arial" w:cs="Arial"/>
          <w:bCs/>
          <w:sz w:val="24"/>
          <w:szCs w:val="24"/>
        </w:rPr>
        <w:t>ganizacionih jedinica je uglavnom veći u odnosu na 2022.</w:t>
      </w:r>
      <w:r w:rsidRPr="001E67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godinu.</w:t>
      </w:r>
    </w:p>
    <w:p w:rsidR="00B56E73" w:rsidRDefault="00B56E73" w:rsidP="00B56E7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B56E73" w:rsidRDefault="00B56E73" w:rsidP="00B56E7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Ukupan broj studenata svih ciklusa studija koji su učestvovali na konferenciji i savjetovanju je 39 što je znatno veće u odnosu na prethodnu godinu gdje smo imali 25. </w:t>
      </w:r>
    </w:p>
    <w:p w:rsidR="00B56E73" w:rsidRDefault="00B56E73" w:rsidP="00B56E7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B56E73" w:rsidRDefault="00B56E73" w:rsidP="00B56E7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1E6773">
        <w:rPr>
          <w:rFonts w:ascii="Arial" w:hAnsi="Arial" w:cs="Arial"/>
          <w:bCs/>
          <w:sz w:val="24"/>
          <w:szCs w:val="24"/>
        </w:rPr>
        <w:t>Broj radova zaposlenika sa svih or</w:t>
      </w:r>
      <w:r>
        <w:rPr>
          <w:rFonts w:ascii="Arial" w:hAnsi="Arial" w:cs="Arial"/>
          <w:bCs/>
          <w:sz w:val="24"/>
          <w:szCs w:val="24"/>
        </w:rPr>
        <w:t>ganizacionih jedinica je uglavnom povećan u odnosu na prethodne</w:t>
      </w:r>
      <w:r w:rsidRPr="001E6773">
        <w:rPr>
          <w:rFonts w:ascii="Arial" w:hAnsi="Arial" w:cs="Arial"/>
          <w:bCs/>
          <w:sz w:val="24"/>
          <w:szCs w:val="24"/>
        </w:rPr>
        <w:t xml:space="preserve"> godin</w:t>
      </w:r>
      <w:r>
        <w:rPr>
          <w:rFonts w:ascii="Arial" w:hAnsi="Arial" w:cs="Arial"/>
          <w:bCs/>
          <w:sz w:val="24"/>
          <w:szCs w:val="24"/>
        </w:rPr>
        <w:t>e.</w:t>
      </w: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804497" w:rsidRDefault="00804497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804497" w:rsidRDefault="00804497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812347" w:rsidRDefault="00812347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A140F0" w:rsidRDefault="00A140F0" w:rsidP="005A00B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F942D7" w:rsidRDefault="00425A47" w:rsidP="00F942D7">
      <w:pPr>
        <w:widowControl w:val="0"/>
        <w:autoSpaceDE w:val="0"/>
        <w:autoSpaceDN w:val="0"/>
        <w:adjustRightInd w:val="0"/>
        <w:spacing w:before="1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Grafikon 6</w:t>
      </w:r>
      <w:r w:rsidR="00F942D7" w:rsidRPr="001E6773">
        <w:rPr>
          <w:rFonts w:ascii="Arial" w:hAnsi="Arial" w:cs="Arial"/>
          <w:b/>
          <w:bCs/>
          <w:sz w:val="24"/>
          <w:szCs w:val="24"/>
        </w:rPr>
        <w:t xml:space="preserve">. </w:t>
      </w:r>
      <w:r w:rsidR="00F942D7">
        <w:rPr>
          <w:rFonts w:ascii="Arial" w:hAnsi="Arial" w:cs="Arial"/>
          <w:b/>
          <w:bCs/>
          <w:sz w:val="24"/>
          <w:szCs w:val="24"/>
        </w:rPr>
        <w:t xml:space="preserve">Prikaz broja objavljenih radova studenata I, II i III ciklusa studija na konferencijama </w:t>
      </w:r>
    </w:p>
    <w:p w:rsidR="00B54831" w:rsidRDefault="00B54831" w:rsidP="00F942D7">
      <w:pPr>
        <w:widowControl w:val="0"/>
        <w:autoSpaceDE w:val="0"/>
        <w:autoSpaceDN w:val="0"/>
        <w:adjustRightInd w:val="0"/>
        <w:spacing w:before="13"/>
        <w:jc w:val="center"/>
        <w:rPr>
          <w:rFonts w:ascii="Arial" w:hAnsi="Arial" w:cs="Arial"/>
          <w:b/>
          <w:bCs/>
          <w:sz w:val="24"/>
          <w:szCs w:val="24"/>
        </w:rPr>
      </w:pPr>
    </w:p>
    <w:p w:rsidR="00B56E73" w:rsidRPr="00B56E73" w:rsidRDefault="00B56E73" w:rsidP="00B56E73">
      <w:pPr>
        <w:widowControl w:val="0"/>
        <w:autoSpaceDE w:val="0"/>
        <w:autoSpaceDN w:val="0"/>
        <w:adjustRightInd w:val="0"/>
        <w:spacing w:before="13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82B37DB" wp14:editId="6D0A8E6B">
            <wp:extent cx="5467350" cy="28289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6E73" w:rsidRDefault="00B56E73" w:rsidP="00B56E73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Broj radova objavljenih na engleskom jeziku na 26. Međunarodnom savjetovanju je bio 3,  na 27. Međunarodnoj konferenciji je bio 9, i na CCEDEP 16, odnosno ukupno 28 radova, što je čak za 400% veće u odnosu na prethodnu godinu gdje smo imali 7 radova. </w:t>
      </w:r>
    </w:p>
    <w:p w:rsidR="00881420" w:rsidRDefault="00881420" w:rsidP="00881420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 odnosu na ukupan broj radova broj radova na engleskom jeziku iznosi 22,58%. Na engleskom jeziku rad su objavili 6 autora EFT-a, 1 autor sa SFT-a, 5 sa FIT-a, 4 sa FPTN-a i 1 sa PFT-a. Ukupno je 17 autora sa IUT objavilo rad na engleskom jeziku. S obzirom da konferencije imaju sve veći broj međunarodnih učesnika i autora pretpostavljamo da će ovaj procenat imati pozitivan trend rasta kao što je to i slučaj prethodnih godina. </w:t>
      </w:r>
    </w:p>
    <w:p w:rsidR="00B54831" w:rsidRDefault="00B54831" w:rsidP="00A140F0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B54831" w:rsidRDefault="00B54831" w:rsidP="00A140F0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B54831" w:rsidRDefault="00B54831" w:rsidP="00A140F0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B54831" w:rsidRPr="00A140F0" w:rsidRDefault="00B54831" w:rsidP="00A140F0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</w:p>
    <w:p w:rsidR="00804497" w:rsidRPr="003037BA" w:rsidRDefault="007426A4" w:rsidP="003037BA">
      <w:pPr>
        <w:pStyle w:val="Heading2"/>
      </w:pPr>
      <w:bookmarkStart w:id="3" w:name="_Toc158728400"/>
      <w:r>
        <w:lastRenderedPageBreak/>
        <w:t>Lista objavljenih radova na</w:t>
      </w:r>
      <w:r w:rsidR="00B45BD7">
        <w:t xml:space="preserve"> konferenciji u 2023</w:t>
      </w:r>
      <w:r w:rsidR="0081640D">
        <w:t>. godini</w:t>
      </w:r>
      <w:bookmarkEnd w:id="3"/>
    </w:p>
    <w:p w:rsidR="002369CD" w:rsidRPr="005764DB" w:rsidRDefault="00B56E73" w:rsidP="00AB3FA1">
      <w:pPr>
        <w:pStyle w:val="Heading3"/>
      </w:pPr>
      <w:bookmarkStart w:id="4" w:name="_Toc158728401"/>
      <w:r>
        <w:t>26. MEĐUNARODNA KONFERENCIJA</w:t>
      </w:r>
      <w:r w:rsidR="00B45BD7" w:rsidRPr="00B45BD7"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  <w:bookmarkEnd w:id="4"/>
    </w:p>
    <w:p w:rsidR="002369CD" w:rsidRPr="000C6D44" w:rsidRDefault="002369CD" w:rsidP="000C6D44">
      <w:pPr>
        <w:pStyle w:val="ListParagraph"/>
        <w:jc w:val="both"/>
        <w:rPr>
          <w:rFonts w:ascii="Arial" w:hAnsi="Arial" w:cs="Arial"/>
          <w:b/>
        </w:rPr>
      </w:pP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Rajko Kasagić, Cariša Bešić - POSLJEDICE GLOBALNIH ZAGRIJAVANJA I MJERE ZAŠTITE, CONSEQUENCES OF GLOBAL WARMING AND PROTECTION MEASURES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Slobodan Nešković - ENERGETSKA POLITIKA I KLIMATSKI CILJEVI U KONTEKSTU ENERGETSKE TRANZICIJE ZEMALJA ZAPADNOG BALKANA, ENERGY POLICY AND CLIMATE GOALS OF THE EUROPEAN UNION IN THE CONTEXT OF THE ENERGY TRANSITION OF THE COUNTRIES OF THE WESTERN BALKANS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Sinan Alispahić, Šezad Hodžić, Ajla Haračić - TEHNOLOGIJE ZA POMOĆ VOZAČU I SIGURNA VOŽNJA, TECHNOLOGIES FOR DRIVER ASSISTANCE AND SAFE DRIVING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Enes Huseinagić - STRATEŠKO PLANIRANJE KAO ZNAČAJAN ALAT ZA USPOSTAVLJANJE SAVREMENOG POSLOVANJA, STRATEGIC PLANNING AS A SIGNIFICANT TOOL FOR ESTABLISHING A MODERN BUSINESS,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Edina Ćeman, Muhamed Sarvan,  Edin Sarvan - KOLIKO SU ELEKTRIČNA VOZILA EKOLOŠKI “ČISTA” – JEDAN OSVRT NA PRISTUP MEDIJA OVOJ TEMI, HOW ENVIRONMENTALLY "CLEAN" ARE ELECTRIC VEHICLES - AN OVERVIEW OF THE MEDIA'S APPROACH TO THIS SUBJECT,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Dragana Agić, Muhamed Barut, Fuad Klisura, Mustafić Ibrahim - UTICAJ NEPOŠTIVANJA SAOBRAĆAJNIH PROPISA I PRAVILA NA BEZBJEDNOST UČESNIKA U SAOBRAĆAJU, IMPACT OF NONCOMPLIANCE WITH TRAFFIC REGULATIONS AND RULES ON THE SAFETY OF TRAFFIC PARTICIPANTS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Ajla Hurem - ANALIZA PRIMJENE VJEŠTAČKE INTELIGENCIJE U OBRAZOVANJU I NJENOG UTICAJA NA ISHODE UČENJA, NIVO ZNANJA I OCJENE UČENIKA / ANALYSIS OF THE APPLICATION OF ARTIFICIAL INTELLIGENCE IN EDUCATION AND ITS IMPACT ON LEARNING OUTCOMES, LEVEL OF KNOWLEDGE, AND STUDENT GRADE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lastRenderedPageBreak/>
        <w:t>Aleksandar Gajić - INDUSTRIJALIZACIJE ŽIVOTNE SREDINE KROZ PRIZMU EKOLOŠKE I ENERGETSKE TRANZICIJE / INDUSTRIALISATION OF THE ENVIRONMENT THROUGH THE PRISM OF ECOLOGICAL AND ENERGY TRANSITION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Almir Ahmetspahić, Goran Popović - POTROŠNJA ENERGIJE U BEŽIČNIM SENZORSKIM MREŽAMA U SISTEMU PAMETNIH ULIČNIH PARKINGA / ENERGY CONSUMPTION IN WIRELESS SENSOR NETWORKS FOR SMART STREET PARKING SYSTEMS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Amila Šiljak - UTICAJ OBNOVLJIVIH ENERGETSKIH IZVORA NA KVALITET ELEKTRIČNE ENERGIJE SA ASPEKTA MIKROMREŽE / THE INFLUENCE OF RENEWABLE ENERGY SOURCES ON THE QUALITY OF ELECTRICITY FROM THE MICROGRID ASPECT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Helena Cuko - RAZVOJ DIZAJNA NAMESTAJA U 20 VEKU / DEVELOPMENT OF FURNITURE DESIGN IN THE 20TH CENTURY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Snezhana Cherepnalkovska Dukovska, Atanas Kozarev, Violeta Rajcevska Luzevska - UPRAVLJANJE POSLOVNIM PODACIMA JE POTREBA ZA DIGITALNOM TRANSFORMACIJOM / BUSINESS DATA GOVERNANCE IS A NEED FOR DIGITAL TRANSFORMATION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Snezhana Cherepnalkovska Dukovska, Atanas Kozarev, Violeta Rajcevska Luzevska - GLAVNI KONCEPTI SIGURNOSTI PODATAKA, MAIN CONCEPTS OF DATA SECURITY, 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eastAsia="Times New Roman" w:hAnsi="Arial" w:cs="Arial"/>
          <w:sz w:val="24"/>
          <w:szCs w:val="24"/>
          <w:lang w:eastAsia="bs-Latn-BA"/>
        </w:rPr>
        <w:t xml:space="preserve">Predrag Osmokrović, </w:t>
      </w:r>
      <w:r w:rsidRPr="007426A4">
        <w:rPr>
          <w:rFonts w:ascii="Arial" w:eastAsia="Times New Roman" w:hAnsi="Arial" w:cs="Arial"/>
          <w:sz w:val="24"/>
          <w:szCs w:val="24"/>
          <w:shd w:val="clear" w:color="auto" w:fill="FFFFFF"/>
          <w:lang w:eastAsia="bs-Latn-BA"/>
        </w:rPr>
        <w:t>Tomislav Stojić, Đorđe Lazarević</w:t>
      </w:r>
      <w:r w:rsidRPr="007426A4">
        <w:rPr>
          <w:rFonts w:ascii="Arial" w:hAnsi="Arial" w:cs="Arial"/>
          <w:sz w:val="24"/>
          <w:szCs w:val="24"/>
        </w:rPr>
        <w:t xml:space="preserve">, </w:t>
      </w:r>
      <w:r w:rsidRPr="007426A4">
        <w:rPr>
          <w:rFonts w:ascii="Arial" w:eastAsia="Times New Roman" w:hAnsi="Arial" w:cs="Arial"/>
          <w:sz w:val="24"/>
          <w:szCs w:val="24"/>
          <w:lang w:eastAsia="bs-Latn-BA"/>
        </w:rPr>
        <w:t>Bekir Fulan</w:t>
      </w:r>
      <w:r w:rsidRPr="007426A4">
        <w:rPr>
          <w:rFonts w:ascii="Arial" w:hAnsi="Arial" w:cs="Arial"/>
          <w:sz w:val="24"/>
          <w:szCs w:val="24"/>
        </w:rPr>
        <w:t>, Amira Trako - KONSTRUKCIJA  PRILAGODNOG OTPORA SONDE  ZA  MERENJE NAPONA U GHz OBLASTI, CONSTRUCTION OF ADJUSTABLE PROBE RESISTANCE FOR VOLTAGE MEASUREMENT IN THE GHz AREA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Amira Trako, Bekir Fulan - ANALIZA  PV MODULA NA TELEKOMUNIKACIONE SISTEME, ANALYSIS OF PV MODULE ON TELECOMMUNICATIONS SYSTEMS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Bekir Fulan, Amira Trako - SINHRONIZACIJA MIKROPROCESORSKI UPRAVLJANIH ISPRAVLJAČA I INVERTORA SA MREŽOM, SYNCHRONIZATION OF MICROPROCESSOR CONTROLLED RECTIFIERS AND INVERTERS WITH THE GRID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  <w:lang w:val="hr-HR" w:eastAsia="hr-HR"/>
        </w:rPr>
        <w:t>Zijad Havić</w:t>
      </w:r>
      <w:r w:rsidRPr="007426A4">
        <w:rPr>
          <w:rFonts w:ascii="Arial" w:hAnsi="Arial" w:cs="Arial"/>
          <w:sz w:val="24"/>
          <w:szCs w:val="24"/>
        </w:rPr>
        <w:t>, Bekir Fulan, Amira Trako - POTROŠNJA ENERGIJE PRISTUPNIH MREŽA NOVE GENERACIJE I TRANZICIJA NA FOTONAPONSKE ĆELIJE, ENERGY CONSUMPTION OF NEW GENERATION ACCESS NETWORKS AND TRANSITION TO PHOTOVOLTAIC CELLS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Branislav Dudić, Pavel Kova</w:t>
      </w:r>
      <w:r w:rsidRPr="007426A4">
        <w:rPr>
          <w:rFonts w:ascii="Arial" w:hAnsi="Arial" w:cs="Arial"/>
          <w:sz w:val="24"/>
          <w:szCs w:val="24"/>
          <w:lang w:val="en-GB"/>
        </w:rPr>
        <w:t>č</w:t>
      </w:r>
      <w:r w:rsidRPr="007426A4">
        <w:rPr>
          <w:rFonts w:ascii="Arial" w:hAnsi="Arial" w:cs="Arial"/>
          <w:sz w:val="24"/>
          <w:szCs w:val="24"/>
        </w:rPr>
        <w:t xml:space="preserve">, Alexandra Mittelman, </w:t>
      </w:r>
      <w:r w:rsidRPr="007426A4">
        <w:rPr>
          <w:rFonts w:ascii="Arial" w:hAnsi="Arial" w:cs="Arial"/>
          <w:bCs/>
          <w:sz w:val="24"/>
          <w:szCs w:val="24"/>
        </w:rPr>
        <w:t>Vijoleta Vrhovac</w:t>
      </w:r>
      <w:r w:rsidRPr="007426A4">
        <w:rPr>
          <w:rFonts w:ascii="Arial" w:hAnsi="Arial" w:cs="Arial"/>
          <w:sz w:val="24"/>
          <w:szCs w:val="24"/>
        </w:rPr>
        <w:t xml:space="preserve">, </w:t>
      </w:r>
      <w:r w:rsidRPr="007426A4">
        <w:rPr>
          <w:rFonts w:ascii="Arial" w:hAnsi="Arial" w:cs="Arial"/>
          <w:bCs/>
          <w:sz w:val="24"/>
          <w:szCs w:val="24"/>
          <w:lang w:val="en-GB"/>
        </w:rPr>
        <w:t>Dražen Sarjanović</w:t>
      </w:r>
      <w:r w:rsidRPr="007426A4">
        <w:rPr>
          <w:rFonts w:ascii="Arial" w:hAnsi="Arial" w:cs="Arial"/>
          <w:sz w:val="24"/>
          <w:szCs w:val="24"/>
        </w:rPr>
        <w:t xml:space="preserve"> - THE ELECTRIC TRUCK MARKET WORLDWIDE, 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lastRenderedPageBreak/>
        <w:t xml:space="preserve">Branislav Dudić, Alexandra Mittelman, </w:t>
      </w:r>
      <w:r w:rsidRPr="007426A4">
        <w:rPr>
          <w:rFonts w:ascii="Arial" w:hAnsi="Arial" w:cs="Arial"/>
          <w:bCs/>
          <w:sz w:val="24"/>
          <w:szCs w:val="24"/>
        </w:rPr>
        <w:t xml:space="preserve">Borislav Savković, </w:t>
      </w:r>
      <w:r w:rsidRPr="007426A4">
        <w:rPr>
          <w:rFonts w:ascii="Arial" w:hAnsi="Arial" w:cs="Arial"/>
          <w:sz w:val="24"/>
          <w:szCs w:val="24"/>
        </w:rPr>
        <w:t xml:space="preserve">Marija Gavrilović, </w:t>
      </w:r>
      <w:r w:rsidRPr="007426A4">
        <w:rPr>
          <w:rFonts w:ascii="Arial" w:hAnsi="Arial" w:cs="Arial"/>
          <w:bCs/>
          <w:sz w:val="24"/>
          <w:szCs w:val="24"/>
          <w:lang w:val="en-GB"/>
        </w:rPr>
        <w:t>Branko Štrbac -</w:t>
      </w:r>
      <w:r w:rsidRPr="007426A4">
        <w:rPr>
          <w:rFonts w:ascii="Arial" w:hAnsi="Arial" w:cs="Arial"/>
          <w:sz w:val="24"/>
          <w:szCs w:val="24"/>
        </w:rPr>
        <w:t xml:space="preserve"> GLOBAL WIND POWER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Elvedin Bečić - URBANO PLANIRANJE U KONTEKSTU URBANE MOBILNOSTI I KLIMATSKIH PROMJENA / URBAN PLANNING IN CONTEXT URBAN MOBILITY AND CLIMATE CHANGE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Elvedin Bečić - ZELENA TRANZICIJA, GREEN TRANSITION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Emin Mesić, Zlatko Mecan - ULOGA MEDIJA U RAZVOJU ZELENE STRATEGIJE, THE ROLE OF THE MEDIA IN THE DEVELOPMENT OF THE GREEN STRATEGY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bCs/>
          <w:sz w:val="24"/>
          <w:szCs w:val="24"/>
        </w:rPr>
        <w:t>Abidin Deljanin</w:t>
      </w:r>
      <w:r w:rsidRPr="007426A4">
        <w:rPr>
          <w:rFonts w:ascii="Arial" w:hAnsi="Arial" w:cs="Arial"/>
          <w:sz w:val="24"/>
          <w:szCs w:val="24"/>
        </w:rPr>
        <w:t>, Emina Zekotić, Mirsad Imamović - SIGURNOST KAO ELEMENT POLITIKE GENERISANJA I PRIVLAČENJA KORISNIKA NA AUTOCESTAMA U FBIH, SAFETY AS AN ELEMENT OF THE POLICY OF GENERATING AND ATTRACTING USERS ON HIGHWAYS IN FBIH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Filip Petrovski - DA LI JE REFORMA VIJEĆA SIGURNOSTI UN-A POTREBNA I UOPĆE MOGUĆA? IS THE REFORM OF THE UN SECURITY COUNCIL NECESSARY AND EVEN POSSIBLE?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Filip Stojanov - MALE DRŽAVE U MEĐUNARODNIM ODNOSIMA / SMALL COUNTRIES IN INTERNATIONAL RELATIONS, MALITE ZEMJI VO MEǴUNARODNITE ODNOSI, 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Husein Mehmedović, Šejma Hajrić, Narajan Mehmedović - FINANSIJSKA ZAVISNOST BOSNE I HERCEGOVINE OD MEĐUNARODNIH FINANSIJSKIH INSTITUCIJA, FINANCIAL DEPENDENCE OF BOSNIA AND HERZEGOVINA ON INTERNATIONAL FINANCIAL INSTITUTIONS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Kornelija Nikačević, </w:t>
      </w:r>
      <w:r w:rsidRPr="007426A4">
        <w:rPr>
          <w:rFonts w:ascii="Arial" w:eastAsia="Times New Roman" w:hAnsi="Arial" w:cs="Arial"/>
          <w:sz w:val="24"/>
          <w:szCs w:val="24"/>
          <w:lang w:eastAsia="bs-Latn-BA"/>
        </w:rPr>
        <w:t>Jasmina Tahirović</w:t>
      </w:r>
      <w:r w:rsidRPr="007426A4">
        <w:rPr>
          <w:rFonts w:ascii="Arial" w:hAnsi="Arial" w:cs="Arial"/>
          <w:sz w:val="24"/>
          <w:szCs w:val="24"/>
        </w:rPr>
        <w:t>, Adis Mehić - RODNA RAVNOPRAVNOST KAO DIO SFERE ODRŽIVOGA RAZVOJA, GENDER EQUALITY AS PART OF THE SPHERE OF SUSTAINABLE DEVELOPMENT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  <w:lang w:val="hr-HR"/>
        </w:rPr>
        <w:t xml:space="preserve">Josip Knežević - </w:t>
      </w:r>
      <w:r w:rsidRPr="007426A4">
        <w:rPr>
          <w:rFonts w:ascii="Arial" w:hAnsi="Arial" w:cs="Arial"/>
          <w:sz w:val="24"/>
          <w:szCs w:val="24"/>
        </w:rPr>
        <w:t>ZNAČENJE ŽELJEZNICE U  INTERMODALNOM PRIJEVOZU ROBE U KONTEJNERIMA NA PROMETNOM TERETNOM KORIDORU Vb, THE SIGNIFICANCE OF THE RAILWAY IN THE INTERMODAL TRANSPORT OF GOODS IN CONTAINERS ON THE TRAFFIC FREIGHT CORRIDOR Vb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Krsto Mijanović, Aida Varupa, Maja Salkić - Smailkadić  - ZAGAĐIVANJE VAZDUHA LEBDEĆIM ČESTICAMA U URBANITETU, AIR POLLUTION WITH FLOATING PARTICLES IN URBANITY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Martina Glasnović - DIGITALNA TRANZICIJA U SUSTAVU ODGOJA I OBRAZOVANJA-PRILIKE I IZAZOVI, DIGITAL TRANSITION IN THE EDUCATION SYSTEM - OPPORTUNITIES AND CHALLENGES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Mehmed Konaković, Abidin Deljanin, Mirsad Imamović - PRIJEDLOG UNIVERZALNOG MODELA STRATEGIJE REGIONALNOG/LOKALNOG </w:t>
      </w:r>
      <w:r w:rsidRPr="007426A4">
        <w:rPr>
          <w:rFonts w:ascii="Arial" w:hAnsi="Arial" w:cs="Arial"/>
          <w:sz w:val="24"/>
          <w:szCs w:val="24"/>
        </w:rPr>
        <w:lastRenderedPageBreak/>
        <w:t>RAZVOJA OBNOVLJIVIH IZVORA ENERGIJE / PROPOSAL OF A UNIVERSAL STRATEGY MODEL OF REGIONAL/LOCAL DEVELOPMENT OF RENEWABLE ENERGY SOURCES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  <w:lang w:val="hr-HR"/>
        </w:rPr>
        <w:t>Mirko Tešić</w:t>
      </w:r>
      <w:r w:rsidRPr="007426A4">
        <w:rPr>
          <w:rFonts w:ascii="Arial" w:hAnsi="Arial" w:cs="Arial"/>
          <w:sz w:val="24"/>
          <w:szCs w:val="24"/>
        </w:rPr>
        <w:t>, Vida Tešić - INOVACIJE I PROCESI, KOJI MOGU ELIMINISATI NEGATIVAN UTICAJ NA ŽIVOTNU I RADNU SREDINU / INNOVATIONS AND PROCESSES THAT CAN ELIMINATE THE NEGATIVE IMPACT ON THE LIVING AND WORKING ENVIRONMENT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Mirsad Nuković - UPRAVLJANJE KOMUNALNIM OTPADOM U CILJU POSTIZANJA STANDARDA EKOLOŠKE RAVNOTEŽE I OČUVANJA BIODIVERZITETA, MANAGEMENT OF MUNICIPAL WASTE WITH THE GOAL OF ACHIEVING STANDARDS OF ENVIRONMENTAL BALANCE AND PRESERVATION OF BIODIVERSITY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Nafija Filipović - VJEŠTAČKA INTELIGENCIJA KAO FAKTOR EFIKASNOSTI KOD CAD/CAM SISTEMA, ARTIFICIAL INTELLIGENCE AS AN EFFICIENCY FACTOR IN CAD/CAM SYSTEMS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Олгица Несторовић, Виолета Бабић, Душан Аничић, Вук Милетић - ИЗАЗОВИ ПОРЕСКЕ ПОЛИТИКЕ У ЗЕМЉАМА ЕВРОПСКЕ УНИЈЕ, ЦХАЛЛЕНГЕС ОФ ТАЏ ПОЛИЦY ИН ТХЕ ЦОУНТРИЕС ОФ ТХЕ ЕУРОПЕАН УНИОН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Olivera Mijailović - ANALIZA UTICAJA FORENZIČKOG RAČUNOVODSTVA NA ODRŽIVO KORPORATIVNO UPRAVLJANJE / ANALYSIS OF THE IMPACT OF FORENSIC ACCOUNTING ON SUSTAINABLE CORPORATE MANAGEMENT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Pavle Gladović, Marijana Prelević - ORGANIZACIJA SISTEMA ZA JAVNI GRADSKI TRANSPORT PUTNIKA U GRADOVIMA CRNE GORE, ORGANIZATION OF THE SYSTEM FOR PUBLIC URBAN PASSENGER TRANSPORT IN THE CITIES OF MONTENEGRO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Mirzet Požegić - NAČIN ODABIRANJA GRABULJASTOG TRANSPORTERA, HOW TO CHOOSE A RAKE CONVEYOR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Saša Đekić - PROVJERA MOGUĆNOSTI PLASMANA SNAGE I ENERGIJE PLANIRANIH FOTONAPONSKIH POSTROJENJA U BOSNI I HERCEGOVINI, VERIFICATION OF THE POSSIBILITY OF POWER AND ENERGY PLACEMENT OF PLANNED PHOTOVOLTAIC PLANTS IN BOSNIA AND HERZEGOVINA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Snježana Vasiljević - ODGOVORNOST OSIGURANJA PREVOZA ROBE U DRUMSKOM SAOBRAĆAJU, RESPONSIBILITY OF INSURING THE TRANSPORTATION OF GOODS IN ROAD TRAFFIC,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Srđan Marinković, Nikola Manojlović - TEORIJSKA ISTRAŽIVANJA ENERGETSKE EFIKASNOSTI NA POLJU POUZDANOSTI I DIJAGNOSTIKE </w:t>
      </w:r>
      <w:r w:rsidRPr="007426A4">
        <w:rPr>
          <w:rFonts w:ascii="Arial" w:hAnsi="Arial" w:cs="Arial"/>
          <w:sz w:val="24"/>
          <w:szCs w:val="24"/>
        </w:rPr>
        <w:lastRenderedPageBreak/>
        <w:t>PUTNIČKIH VOZILA, THEORETICAL RESEARCH OF ENERGY EFFICIENCY IN THE FIELD OF RELIABILITY AND DIAGNOSTICS OF PERSONAL VEHICLES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Suad Obradović - POBOLJŠANJE TEHNOLOŠKOG POSTUPKA POLUINDUSTRIJSKE PROIZVOVODNJE KATOCENA KAO KATALIZATORA ZA KOMPOZITNA RAKETNA GORIVA SA SMANJENOM KOLIČINOM AGENASA I RASTVARAČA S PROCJENOM SMANJENJA RIZIKA PO OKOLIŠ I UTICAJA NA LJUDSKO ZDRAVLJE / IMPROVEMENT OF THE TECHNOLOGICAL PROCEDURE OF THE SEMI-INDUSTRIAL PRODUCTION OF CATHOCENE AS A CATALYST FOR COMPOSITE ROCKET FUELS WITH A REDUCED AMOUNT OF AGENTS AND SOLVENTS WITH AN ASSESSMENT OF THE RISK TO THE ENVIRONMENT AND THE IMPACT ON HUMAN HEALTH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Vera Velinova - NUMERIČKO MODELOVANJE POŽARA VOZILA U ULIČNIM KANJONIMA, NUMERICAL MODELING OF VEHICLE FIRE IN STREET CANYONS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Vladimir Dimovski - OBEZBEĐIVANJE VIP LIČNOSTI, PROVIDING A VIP PERSONALITY,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Zlatica Kuliš, Dževad Avdić - ULOGA BETONA  KAO GRAĐEVINSKOG MATERIJALA U ENERGETSKOJ EFIKASNOSTI  OBJEKATA, THE ROLE OF CONCRETE AS A BUILDING MATERIAL IN THE ENERGY EFFICIENCY OF BUILDINGS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Goran Georgievski - DELOVNO PLANIRANJE U FUNKCIJI PROMOCIJE PREDUZEĆA NA INOSTRANO TRŽIŠTE, BUSINESS PLANNING IN THE FUNCTION OF PROMOTING THE COMPANY TO THE FOREIGN MARKET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Atanas Kozarev, Ferdinand Odzakov, Sedžad Milanović, Tijana Bombol Delevska - OVLAŠČENJA PRIVATNIH DETEKTÌVA U ISTRAGAMA KAO ZNAČAJNA FAZA KRIVIČNOG POSTUPKA, AUTHORIZATIONS OF PRIVATE DETECTIVES IN INVESTIGATIONS AS AN IMPORTANT PHASE OF CRIMINAL PROCEEDINGS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Dina Pašić, Ema Pašić - ULOGA UMJETNE INTELIGENCIJE U OPTIMIZACIJI ENERGETSKOG SISTEMA U BOSNI I HERCEGOVINI, THE ROLE OF ARTIFICIAL INTELLIGENCE IN OPTIMIZING THE ENERGY SYSTEM IN BOSNIA AND HERZEGOVINA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Merjem Bektaš - UTJECAJ DIGITALIZACIJE I AUTOMATIZACIJE NA NAPREDAK BOSNE I HERCEGOVINE, THE IMPACT OF DIGITIZATION AND AUTOMATION ON THE PROGRESS OF BOSNIA AND HERZEGOVINA 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Riad Insanić, Emir Karahmet - ENERGETSKA EFIKASNOST U BOSNI I </w:t>
      </w:r>
      <w:r w:rsidRPr="007426A4">
        <w:rPr>
          <w:rFonts w:ascii="Arial" w:hAnsi="Arial" w:cs="Arial"/>
          <w:sz w:val="24"/>
          <w:szCs w:val="24"/>
        </w:rPr>
        <w:lastRenderedPageBreak/>
        <w:t>HERCEGOVINI, ENERGY EFFICIENTY IN BOSNIA AND HERZEGOVINA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Emir Šarac, Arman Merdžanić, Bakir Mehić - 5G MREŽA / 5G NETWORK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Jasmin Jusufranić, Mirsad Imamović, Selma Otuzbir - Mecan, Mladen Radivojević - INTELIGENTNI SISTEMI U REALNOM VREMENU KOJI MOGU OBEZBJEDITI  SAMOUSLUŽIVANJE I NUĐENJE USLUGA U JAVNOJ UPRAVI / INTELLIGENT REAL-TIME SYSTEMS THAT CAN PROVIDE SELF-SERVICE AND OFFERING SERVICES IN PUBLIC ADMINISTRATION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Nehad Gaši, Dina Vrebac, Azra Hrustić - ENERGETSKA TRANZICIJA KA ODRŽIVOM RAZVOJU U EVROPI I BOSNI I HERCEGOVINI / ENERGY TRANSITION TOWARDS SUSTAINABLE DEVELOPMENT IN EUROPE AND BOSNIA AND HERZEGOVINA</w:t>
      </w:r>
      <w:r w:rsidRPr="007426A4">
        <w:rPr>
          <w:rFonts w:ascii="Arial" w:hAnsi="Arial" w:cs="Arial"/>
          <w:sz w:val="24"/>
          <w:szCs w:val="24"/>
        </w:rPr>
        <w:tab/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Maja Salkić Smailkadić, Krsto Mijanović, Aida Varupa - ALTERNATIVNA GORIVA U CEMENTNOJ INDUSTRIJI / ALTERNATIVE FUELS IN THE CEMENT INDUSTRY</w:t>
      </w:r>
      <w:r w:rsidRPr="007426A4">
        <w:rPr>
          <w:rFonts w:ascii="Arial" w:hAnsi="Arial" w:cs="Arial"/>
          <w:sz w:val="24"/>
          <w:szCs w:val="24"/>
        </w:rPr>
        <w:tab/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Muhamed Ćosić, Rudolf Petrušić, Vehbi Ramaj - PRIMJENA VJEŠTAČKE INTELIGENCIJE U AUTOMOBILSKOJ INDUSTRIJI / APPLICATION OF ARTIFICIAL INTELLIGENCE IN THE AUTOMOTIVE INDUSTRY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Nenad T. Babić,  Rade Biočanin, Mirjana T. Marinković - EKOLOŠKA BEZBEDNOST HRANE I VODE U USLOVIMA NUKLEARNE, HEMIJSKE I BIOLOŠKE KONTAMINACIJE / ECOLOGICAL SAFETY OF FOOD AND WATER IN CONDITIONS NUCLEAR, CHEMICAL AND BIOLOGICAL CONTAMINATION 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Aida Varupa, Nedžada Tolja, Krsto Mijanović  - ZAGAĐIVANJE I ZAŠTITA ZEMLJIŠTA KORIŠTENJEM AKTIVNIH MATERIJA U PROIZVODNJI POLJOPRIVREDNIH KULTURA / POLLUTION AND LAND PROTECTION USING CHEMICAL AGENTS IN THE PRODUCTION OF AGRICULTURAL CROPS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Darijo Božičković, Zdravko Božičković, Slavko Đurić, Milan Plavšić, Ranko Božičković - UTICAJNI FAKTORI NA POVRATNI UGAO SLOBODNOG V – SAVIJANJA LIMOVA KONSTRUKCIONIH ČELIKA / FACTORS INFLUENCING THE RETURN ANGLE OF THE FREE V - BENDING OF STRUCTURAL STEEL SHEETS</w:t>
      </w:r>
    </w:p>
    <w:p w:rsidR="00B45BD7" w:rsidRPr="007426A4" w:rsidRDefault="00B45BD7" w:rsidP="00B45BD7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Asen Asenov, Velizara Pencheva, Ivelin Zanev, Ivan Georgiev, Boril Ivanov - MODEL OF RIVER COORDINATION MULTIMODAL LOGISTICS CENTER</w:t>
      </w:r>
    </w:p>
    <w:p w:rsidR="00B45BD7" w:rsidRPr="007426A4" w:rsidRDefault="00B45BD7" w:rsidP="00B45BD7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AB3FA1" w:rsidRPr="007426A4" w:rsidRDefault="00B45BD7" w:rsidP="007426A4">
      <w:pPr>
        <w:pStyle w:val="Heading3"/>
      </w:pPr>
      <w:bookmarkStart w:id="5" w:name="_Toc158728402"/>
      <w:r w:rsidRPr="007426A4">
        <w:lastRenderedPageBreak/>
        <w:t>10th INTERNATIONAL SCIENTIFIC CONFERENCE ON CLIMATE CHANGE, ECONOMIC DEVELOPMENT, ENVIRONMENT AND PEOPLE (CCEDEP 2023) koju organizuje Internacionalni univerzitet Travnik u Travniku, u saradnji sa ACEU - "Alijansom univerziteta Centralne i Istočne Evrope",  25.10.2023. godine.</w:t>
      </w:r>
      <w:r w:rsidR="00C665D4" w:rsidRPr="007426A4">
        <w:t>-</w:t>
      </w:r>
      <w:bookmarkEnd w:id="5"/>
    </w:p>
    <w:p w:rsidR="00B45BD7" w:rsidRPr="007426A4" w:rsidRDefault="00C665D4" w:rsidP="00AB3FA1">
      <w:pPr>
        <w:pStyle w:val="Heading3"/>
        <w:numPr>
          <w:ilvl w:val="0"/>
          <w:numId w:val="0"/>
        </w:numPr>
        <w:ind w:left="720"/>
        <w:rPr>
          <w:rFonts w:cs="Arial"/>
        </w:rPr>
      </w:pPr>
      <w:r w:rsidRPr="007426A4">
        <w:rPr>
          <w:rFonts w:cs="Arial"/>
        </w:rPr>
        <w:tab/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RISKS OF BUSINESS AND EMPLOYMENT IN MODERN BUSINESS CONDITIONS - Cariša Bešić, Srđan Bogetić, Dragan Ćoćkalo, Mihalj Bakator, Doloris Bešić-Vukašinović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SUSTAINABLE SUPPLY OF DRINKING WATER TO THE CITY OF ŠABAC - Suzana Knežević, Milena Milojević, Ljiljana Tanasić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CORRELATION AND PATH ANALYSIS OF GRAIN YIELD AND COMPONENTS OF GRAIN YIELD OF MAIZE (Zea mays L.) - Zorana Srećkov, Jan Boćanski, Zorica Mrkonjić, Mirjana Bojović, Igor Vukelić, Gordana Racić, Vesna Vasić, Olivera Nikolić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EU SUSTAINABLE STRATEGIES AND CIRICULAR ECONOMY - Simonida Vukadinović, Jenea Ješić, Andrea Andejević Panić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ARTIFICIAL INTELLIGENCE IN THE CONTEXT OF ENVIRONMENTAL CHALLENGES - Muhamed Ćosić, Nehad Gaši, Dina Vrebac, Nešad Krnjić, Bakir Čičak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SOCIO-ECONOMIC CHALLENGES OF THE APPLICATION OF ARTIFICIAL INTELLIGENCE - Siniša Bilić, Dušan Mraović, Ivica Opačak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ECO-INNOVATIONS IN THE CREATION OF NEW CAPACITIES FOR ACHIEVING THE GOALS OF THE GREEN ECONOMY – CASE OF MIDAS PROJECT - Ana Marjanovic Jeromela, Andrea Andejević Panić, Simonida Vukadinović, Jelena Ješić, Efi Alexopoulou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ENERGY CRISIS IN SERBIA: CAUSES, EFFECTS, GOVERNMENT RESPONSE AND POTENTIAL FOR SUSTAINABLE DEVELOPMENT - Jovana Kisin, Jelena Ignjatović, Azemina Mashovic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CEMENT AS AN ENVIRONMENTALLY ACCEPTABLE COMPONENT IN THE MAKING OF CONCRETE - Zlatica Kuliš, Dževad Avdić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CHALLENGES OF URBAN ECOLOGY IN CONSERVING AND ENHANCING BIODIVERSITY IN THE 21ST CENTURY - Milan Glišić, Ljiljana Tanasić, Suzana Knežević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CONTEMPORARY TRENDS IN ORGANIZATIONAL BEHAVIOR AND DIGITAL NOMADISM - Drago Pupavac, Anto Malbašić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THE DEVELOPMENT OF MODERN INFORMATION AND DIGITAL TECHNOLOGIES LEADS TO THE DEVELOPMENT / REPLACEMENT OF EMPLOYEES IN THE COMPANY, BUSINESS AND SOCIETY? - Nikola Mićunović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 xml:space="preserve">ECONOMIC FLOWS IN BOSNIA AND HERZEGOVINA, CORRUPTION AND </w:t>
      </w:r>
      <w:r w:rsidRPr="007426A4">
        <w:rPr>
          <w:rFonts w:ascii="Arial" w:hAnsi="Arial" w:cs="Arial"/>
          <w:sz w:val="24"/>
          <w:szCs w:val="24"/>
          <w:lang w:val="bs-Latn-BA"/>
        </w:rPr>
        <w:lastRenderedPageBreak/>
        <w:t>MEASURES AGAINST CORRUPTION – Rajko Kasagić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BONDS AS A QUALITY FINANCIAL INSTRUMENT FOR ACQUIRING THE MISSING FINANCIAL FUNDS IN THE WESTERN BALKAN COUNTRIES AND OFTEN ABUSED BY THE CURRENT GOVERNMENTS TO REMAIN IN POWER FOR MULTIPLE DECADES – Husein Mehmedović, Šejma Hajrić, Narajan Mehmedović</w:t>
      </w:r>
    </w:p>
    <w:p w:rsidR="00B45BD7" w:rsidRPr="007426A4" w:rsidRDefault="00B45BD7" w:rsidP="00196CAD">
      <w:pPr>
        <w:numPr>
          <w:ilvl w:val="0"/>
          <w:numId w:val="23"/>
        </w:numPr>
        <w:rPr>
          <w:rFonts w:ascii="Arial" w:hAnsi="Arial" w:cs="Arial"/>
          <w:sz w:val="24"/>
          <w:szCs w:val="24"/>
          <w:lang w:val="bs-Latn-BA"/>
        </w:rPr>
      </w:pPr>
      <w:r w:rsidRPr="007426A4">
        <w:rPr>
          <w:rFonts w:ascii="Arial" w:hAnsi="Arial" w:cs="Arial"/>
          <w:sz w:val="24"/>
          <w:szCs w:val="24"/>
          <w:lang w:val="bs-Latn-BA"/>
        </w:rPr>
        <w:t>PRODUCTIVITY OF SERBIAN WHEAT GENOTYPES GROWN IN ECOLOGICAL AGRICULTURAL SYSTEM - Olivera Nikolic, Gordana Racic, Igor Vukelic, Zorana Sreckov, Zorica Mrkonjic, Mirjana Bojovic, Vesna Vasic</w:t>
      </w:r>
    </w:p>
    <w:p w:rsidR="00B45BD7" w:rsidRDefault="00B45BD7" w:rsidP="007426A4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7426A4">
        <w:rPr>
          <w:rFonts w:ascii="Arial" w:eastAsia="Times New Roman" w:hAnsi="Arial" w:cs="Arial"/>
          <w:sz w:val="24"/>
          <w:szCs w:val="24"/>
          <w:lang w:val="hr-HR"/>
        </w:rPr>
        <w:t>SCIENTIFIC RESEARCH WORK IN TRANSFORMATION ECONOMY OF BOSNIA AND HERZEGOVINA - Enes Huseinagić</w:t>
      </w:r>
    </w:p>
    <w:p w:rsidR="007426A4" w:rsidRPr="007426A4" w:rsidRDefault="007426A4" w:rsidP="007426A4">
      <w:pPr>
        <w:ind w:left="720"/>
        <w:rPr>
          <w:rFonts w:ascii="Arial" w:eastAsia="Times New Roman" w:hAnsi="Arial" w:cs="Arial"/>
          <w:sz w:val="24"/>
          <w:szCs w:val="24"/>
          <w:lang w:val="hr-HR"/>
        </w:rPr>
      </w:pPr>
    </w:p>
    <w:p w:rsidR="00B56E73" w:rsidRPr="007426A4" w:rsidRDefault="00B56E73" w:rsidP="007426A4">
      <w:pPr>
        <w:pStyle w:val="Heading3"/>
      </w:pPr>
      <w:bookmarkStart w:id="6" w:name="_Toc158728403"/>
      <w:r w:rsidRPr="007426A4">
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  <w:bookmarkEnd w:id="6"/>
    </w:p>
    <w:p w:rsidR="00C665D4" w:rsidRPr="007426A4" w:rsidRDefault="00C665D4" w:rsidP="004D2B3A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Aldin Brajić, Saliha Brajić : MOTIVACIJA ZAPOSLENIKA KAO DETERMINANTA ZADOVOLJSTVA KLIJENATA NA PRIMJERU FINANSIJSKIH PREDUZEĆA PRIMJENOM HARTLEY TEST HOMOGENOSTI VARIJANSE / EMPLOYEE MOTIVATION AS A DETERMINANT OF CUSTOMER SATISFACTION ON THE EXAMPLE OF FINANCIAL COMPANIES USING THE HARTLEY TEST OF HOMOGENITY OF VARIANCE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Aleksandar Gajić: EKOLOGIJA I ZELENE TEHNOLOGIJE U KONCEPTU ODRŽIVOG EKONOMSKOG RAZVOJA ZEMALJA ZAPADNOG BALKANA/ ECOLOGY AND GREEN TECHNOLOGIES IN THE CONCEPT OF SUSTAINABLE ECONOMIC DEVELOPMENT OF WESTERN BALKAN COUNTRIES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Almir Ahmetspahić, Goran Popović: SMANJENJE POTROŠNJE ENERGIJE WSN U FUNKCIJI FIZIČKOG SLOJA PAMETNOG PARKINGA NA PRIMJERU UŽEG GRADSKOG PODRUČJA GRADA SARAJEVO KAO DOPRINOS POLITICI ZAŠTITE ŽIVOTNE SREDINE / REDUCTION OF WSN ENERGY CONSUMPTION IN THE FUNCTION OF THE PHYSICAL LAYER OF SMART PARKING ON THE EXAMPLE OF THE INNER CITY AREA OF THE CITY OF </w:t>
      </w:r>
      <w:r w:rsidRPr="007426A4">
        <w:rPr>
          <w:rFonts w:ascii="Arial" w:hAnsi="Arial" w:cs="Arial"/>
          <w:sz w:val="24"/>
          <w:szCs w:val="24"/>
        </w:rPr>
        <w:lastRenderedPageBreak/>
        <w:t>SARAJEVO AS A CONTRIBUTION TO THE ENVIRONMENTAL PROTECTION POLICY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Anita Dimitrijovska Jankulovska : MEDIA TRANSFORMATION THROUGH THE GREEN ECONOMY IN THE WESTERN BALKAN COUNTRIES: A SPECIAL FOCUS ON BOSNIA AND HERZEGOVINA'S PYRAMIDS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Dražen Sarjanović, Pavel Kovač, Dušan Ješić, Borislav Savković: EKOLOŠKI PROBLEMI STANOVNIKA  REPUBLIKE BIH, REPUBLIKE HRVATSKE I REPUBLIKE SRBIJE  U SLIVU REKE SAVE/ ECOLOGICAL PROBLEMS OF THE INHABITANTS OF THE REPUBLIC OF BOSNIA AND HERZEGOVINA, THE REPUBLIC OF CROATIA AND THE REPUBLIC OF SERBIA IN THE SAVA RIVER BASIN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Elizabeta Popova Ramova, Biljana Apostolova, Atanas Kozarev, Magdalena Punčeva Marina: OBRAZOVANJE ZA ZDRAVU ŽIVOTNU SREDINU I ZELENU EKONOMIJU KAO DUGOROČNA STRATEGIJA U OBRAZOVNOM SISTEMU / EDUCATION FOR A HEALTHY ENVIRONMENT AND GREEN ECONOMY AS A LONG-TERM STRATEGY IN THE EDUCATIONAL SYSTEM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Enes Huseinagić: HORIZONTI NOVOG MEĐUNARODNOG EKONOMSKOG PORETKA KROZ ZELENU EKONOMIJU/HORIZONS OF THE NEW INTERNATIONAL ECONOMIC ORDER THROUGH THE GREEN ECONOMY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Husein Mehmedović: ZELENA EKONOMIJA, PRILIKA ZA BRŽI PRIVREDNI RAZVOJ BOSNE I HERCEGOVINE / GREEN ECONOMY: OPPORTUNITY FOR FASTER ECONOMIC DEVELOPMENT IN BOSNIA AND HERZEGOVINA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 Magdalena Punčeva Marina: DNA SECURITY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 Mehmed Konaković, Abidin Deljanin, Mirsad Imamović: KONCEPT RAZVOJA VOZILA NA HIDROGENSKIM TEHNOLOGIJAMA/CONCEPT OF VEHICLE DEVELOPMENT BASED ON HYDROGEN TECHNOLOGIES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Mladen Radivojević, Davor Radivojević: EKONOMSKA OPRAVDANOST KORIŠTENJA VJEŠTAČKE INTELIGENCIJE U GRAĐEVINSKIM PREDUZEĆIMA/ ECONOMIC JUSTIFICATION OF THE USE OF EXPERTISE INTELLIGENCE IN CONSTRUCTION COMPANIES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Mujo Fišo: MJERE I PRIJEDLOZI  ODRŽIVOG GRADSKOG SAOBRAĆAJA ZA PREVOZ PUTNIKA  U KANTONU SARAJEVO /MEASURES AND PROPOSALS OF SUSTAINABLE CITY TRANSPORT FOR THE TRANSPORTATION OF PASSENGERS IN THE CANTON OF SARAJEVO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 Olivera Mijailović: ZELENO RAČUNOVODSTVO KAO INTEGRALNI DEO </w:t>
      </w:r>
      <w:r w:rsidRPr="007426A4">
        <w:rPr>
          <w:rFonts w:ascii="Arial" w:hAnsi="Arial" w:cs="Arial"/>
          <w:sz w:val="24"/>
          <w:szCs w:val="24"/>
        </w:rPr>
        <w:lastRenderedPageBreak/>
        <w:t>KONCEPTA DRUŠTVENE ODGOVORNOSTI/ GREEN ACCOUNTING AS AN INTEGRAL PART OF THE CONCEPT OF SOCIAL RESPONSIBILITY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Pavle Gladović, Božo Ilić, Milan Stanković, Jovan Mišić: STRATEGIJA I MERE ZA ODRŽIV JAVNI GRADSKI TRANSPORT PUTNIKA/ STRATEGY AND MEASURES FOR SUSTAINBLE PUBLIC URBAN PASSENGER TRANSPORT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Rade Biočanin, Gordana Milentijević: RIZICI I EKOLOŠKA BEZBEDNOST U XXI VEKU, AKCENTOM NA DRŽAVE ZAPADNOG BALKANA/RISKS AND ENVIRONMENTAL SAFETY IN THE XXI CENTURY, WITH AN EMPHASIS ON THE COUNTRIES OF THE WESTERN BALKANS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Rajko Kasagić: ENONOMIJA I EKOLOGIJA SA OSVRTOM NA TRAVNIK/ECONOMY AND ECOLOGY WITH REFERENCE TO THE TRAVNIK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 Siniša Bilić, Zvonimir Filipović, Muamer Muminović: UTJECAJ PROCESA GLOBALIZACIJE NA TRŽIŠTE RADA REPUBLIKE HRVATSKE/ IMPACT OF THE GLOBALIZATION PROCESS ON THE LABOR MARKET OF THE REPUBLIC OF CROATIA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Slobodan Nešković: ZELENA EKONOMIJA I SOCIJALNA INKLUZIJA DRŽAVA ZAPADNOG BALKANA U STRATEGIJI ZELENE AGENDE EVROPSKE UNIJE/ GREEN ECONOMY AND SOCIAL INCLUSION OF WESTERN BALKAN COUNTRIES IN THE STRATEGY OF THE GREEN AGENDA OF THE EUROPEAN UNION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Tatjana Gerginova: MODERN KORPORATIONS AND SUSTAINABLE DEVELOPMENT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Toše Panov, Mevledin Mustafi: АЛТЕРНАТИВНАТА МЕРА УСЛОВНА ОСУДА ЗА ЗАШТИТНИМ НАДЗОРОМ У  ТЕОРИЈИ И ПРАКСИ  У Р.С.МАКЕДОНИЈЕ/ ALTERNATIVE MEASURE PROBATION FOR PROTECTIVE SUPERVISION IN THEORY AND PRACTICE IN REPUBLIC OF NORTH MACEDONIA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Vangel Dunovski, Damjan Balkoski: PREMA ZDRAVIM, SIGURNIM I ODRŽIVIM GRADOVIMA/CITY – CLEAN, HEALTHY AND SUSTAINABLE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Zlatica Kuliš, Dževad Avdić: ULOGA ZELENIH  KROVOVA U ENERGETSKI ODRŽIVOJ GRADNJI / THE ROLE OF GREEN ROOFS IN ENERGY SUSTAINABLE BUILDING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Ferdinand Odžakov: ZNANJE STRANIH JEZIKA KAO BITAN PREDUSLOV ZA USPESNU BORBU PROTIV TERORIZMA/ KNOWLEDGE OF FOREIGN LANGUAGES AS AN ESSENTIAL PREREQUISITE FOR A SUCCESSFUL FIGHT AGAINST TERRORISM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lastRenderedPageBreak/>
        <w:t xml:space="preserve">Muhamed Ćosić: MODELI PRIMJENE UMJETNE INTELIGENCIJE U PROIZVODNJI ELEKTRIČNE ENERGIJE/ MODELS OF APPLICATION OF ARTIFICIAL INTELLIGENCE IN THE PRODUCTION OF ELECTRICITY 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Armin Čelarević: SOFTVERSKI DEFINISANE MREŽE/ SOFTWARE DEFINED NETWORKS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Kornelija Nikačević, Jasmina Tahirović, Adis Mehić, Arnad Biković: PRIRODNA PRAVA ILI PRAVA PRIRODE/ NATURAL RIGHTS OR RIGHTS OF NATURE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Marko Amidžić, Sinan Alispahić: TRENDOVI U PROMETNOM I LOGISTIČKOM SUSTAVU/TRENDS IN THE TRANSPORT AND LOGISTICS SYSTEM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Sinan Alispahić, Šezad Hodžić, Kemal Spahić : ZELENA TRANZICIJA I ODRŽIVA URBANA MOBILNOST/GREEN TRANSITION AND SUSTAINABLE URBAN MOBILITY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Branislav Dudić, Pavel Kovač, Borislav Savković, Branko Štrbac, Branislav Nedbálek: GLOBAL BIOENERGY CAPACITY WORLDWIDE 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Branislav Dudić, Alexandra Mittelman, Jaroslav Vojtechovský, Vladimir Mirković, Marija Gavrilović : THE ECONOMY OF THE CZECH REPUBLIC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Veis Šerifi, Senida Šerifi, Vesnera Šerifi, Vojo Milošević: ANALYSIS OF THE HISTORICAL ARTISTIC HERITAGE OF A WORK OF THE EPOCH OF PROTO-RENAISSANCE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Vesnera Šerifi, Senida Šerifi, Veis Šerifi: ANTICLASSICISM AND THE CREATION OF ORGANIC ARCHITECTURE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Mirko Tešić, Zorica Tešić, Slavko Vukasović: KRETANJE OTPADA KROZ PROIZVODNE PROCESE/ MOVEMENT OF WASTE THROUGH PRODUCTION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Ajla Hurem, Malik Kadrić: UTICAJ INTERNET STVARI NA RAZVOJ PAMETNIH GRADOVA: TRANSFORMACIJA URBANE INFRASTRUKTURE KA ODRŽIVOM SVIJETU/ IMPACT OF THE INTERNET OF THINGS ON THE DEVELOPMENT OF SMART CITIES: TRANSFORMATION OF URBAN INFRASTRUCTURE TOWARDS A SUSTAINABLE WORLD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Džejlana Čejvan, Ajla Fuško, Aida Mehić: ZELENA AGENDA BOSNE I HERCEGOVINE/GREEN AGENDA OF BOSNIA AND HERZEGOVINA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Vangel Dunovski: ZELENE KROVNE KONSTRUKCIJE/ GREEN ROOF STRUCTURES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Helena Cuko: DIZAJN ENTERIJERA – AKTUELNOST I BUDUĆNOST /INTERIOR DESIGN- PRESENT AND FUTURE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Helena Cuko: KOMERCIJALNI DIZAJN/COMMERCIAL DESIGN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lastRenderedPageBreak/>
        <w:t>Mejra Hidić, Irna Zahirović, Larisa Omerdić : IZAZOVI I MOGUĆNOSTI U OBNOVLJIVIM ENERGIJAMA, CHALLENGES AND OPPORTUNITIES IN RENEWABLE ENERGY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Dragan Golijan, Jelena Golijan, Selma Otuzbir Mecan: NASTANAK USTAVA I USTAVNOSTI U SVIJETU/ THE EMERGENCE OF THE CONSTITUTION AND CONSTITUTIONALITY IN THE WORLD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Remzija Kadrić, Adil Osmanović, Ismet Šabotić, Edin Ramić: PRAVNE PRETPOSTAVKE ZA USPOSTAVU ODRŽIVOG I PROFITABILNOG RAZVOJA KROZ ZELENU EKONOMIJU U BOSNI I HERCEGOVINI/ LEGAL ASSUMPTIONS FOR THE ESTABLISHMENT OF SUSTAINABLE AND PROFITABLE DEVELOPMENT THROUGH THE GREEN ECONOMY IN BOSNIA AND HERZEGOVINA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Filip Petrovski, Atanas Kozarev: ULOGA MEDIJA I DRUŠTVENIH MEDIJA U IMPLEMENTACIJI KONCEPTA ZELENE EKONOMIJE – KOMPARATIVNI PRISTUP / THE ROLE OF THE MEDIA AND THE SOCIAL MEDIA IN THE IMPLEMENTATION OF THE GREEN ECONOMY CONCEPT – COMPARATIVE APPROACH 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Minel Duvnjak, Elma Arslanagić, Esma Hamzakadić: ULOGA MEDIJA U PROCESU ZELENE EKONOMIJE / THE ROLE OF THE MEDIA IN THE GREEN ECONOMY PROCESS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Rudolf Petrušić, Muhamed Ćosić: INFLUENCE OF AI IN MEDIA AND ENTERTAINMENT INDUSTRY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Azra Goran Ramić: NORMATIVNO-PRAVNA RJEŠENJA ZA IZGRADNJU ZELENE EKONOMIJE U BOSNI I HERCEGOVINI/NORMATIVE-LEGAL FRAMEWORK FOR DEVELOPMENT OF GREEN ECONOMY IN BOSNIAN AND HERZEGOVINA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Anesa Škiljan, Asib Alihodžić: RIZICI JAVNIH PROJEKATA / RISKS OF PUBLIC PROJECTS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Lamija Sijah: BIZNIS PLAN KAO INSTRUMENT INVESTICIONE POLITIKE/ BUSINESS PLAN AS AN INSTRUMENT OF INVESTMENT POLICY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Azra Ahmić: THE GREEN PROCUREMENT MEANING, SIGNIFICANCE AND MAIN PRACTICES</w:t>
      </w:r>
    </w:p>
    <w:p w:rsidR="00B45BD7" w:rsidRPr="007426A4" w:rsidRDefault="00B45BD7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 xml:space="preserve">Alim Görgülü, Dejan Antanasković, Mirsad Imamović, Admir Muslija, Muhamed Šemoski - IZAZOVI TOP MENADŽMENTA KOMPANIJA IZ JAVNOG SEKTORA NA PUTU EKOLOŠKE I ENERGETSKE TRANZICIJE NA ZAPADNOM </w:t>
      </w:r>
      <w:r w:rsidRPr="007426A4">
        <w:rPr>
          <w:rFonts w:ascii="Arial" w:hAnsi="Arial" w:cs="Arial"/>
          <w:sz w:val="24"/>
          <w:szCs w:val="24"/>
        </w:rPr>
        <w:lastRenderedPageBreak/>
        <w:t>BALKANU</w:t>
      </w:r>
    </w:p>
    <w:p w:rsidR="006C1289" w:rsidRPr="007426A4" w:rsidRDefault="006C1289" w:rsidP="00B45BD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426A4">
        <w:rPr>
          <w:rFonts w:ascii="Arial" w:hAnsi="Arial" w:cs="Arial"/>
          <w:sz w:val="24"/>
          <w:szCs w:val="24"/>
        </w:rPr>
        <w:t>Alisa Imamović, Lejla Skopljak -  ZAŠTITA POTROŠAČA U BOSNI I HERCEGOVINI – TRENUTNI IZAZOVI I DE LEGE FERENDA PRIJEDLOZI</w:t>
      </w:r>
    </w:p>
    <w:p w:rsidR="004D2B3A" w:rsidRPr="007426A4" w:rsidRDefault="004D2B3A" w:rsidP="004D2B3A">
      <w:pPr>
        <w:ind w:left="426"/>
        <w:rPr>
          <w:rFonts w:ascii="Arial" w:hAnsi="Arial" w:cs="Arial"/>
          <w:sz w:val="24"/>
          <w:szCs w:val="24"/>
          <w:lang w:val="bs-Latn-BA"/>
        </w:rPr>
      </w:pPr>
    </w:p>
    <w:p w:rsidR="00F942D7" w:rsidRDefault="00F942D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196CAD" w:rsidRDefault="00196CAD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196CAD" w:rsidRDefault="00196CAD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196CAD" w:rsidRDefault="00196CAD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196CAD" w:rsidRDefault="00196CAD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5764DB" w:rsidRDefault="005764D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7426A4" w:rsidRDefault="007426A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</w:rPr>
      </w:pPr>
    </w:p>
    <w:p w:rsidR="00335C56" w:rsidRPr="005053BF" w:rsidRDefault="0096347E" w:rsidP="005053BF">
      <w:pPr>
        <w:pStyle w:val="Heading1"/>
        <w:numPr>
          <w:ilvl w:val="0"/>
          <w:numId w:val="0"/>
        </w:numPr>
        <w:ind w:left="432" w:hanging="432"/>
      </w:pPr>
      <w:bookmarkStart w:id="7" w:name="_Toc158728404"/>
      <w:r w:rsidRPr="0096347E">
        <w:lastRenderedPageBreak/>
        <w:t>ZAKLJUČAK</w:t>
      </w:r>
      <w:bookmarkEnd w:id="7"/>
    </w:p>
    <w:p w:rsidR="005053BF" w:rsidRDefault="005053BF" w:rsidP="000815C1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0815C1" w:rsidRDefault="00B56E73" w:rsidP="000815C1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2023</w:t>
      </w:r>
      <w:r w:rsidR="000815C1">
        <w:rPr>
          <w:rFonts w:ascii="Arial" w:hAnsi="Arial" w:cs="Arial"/>
          <w:sz w:val="24"/>
          <w:szCs w:val="24"/>
          <w:lang w:val="bs-Latn-BA"/>
        </w:rPr>
        <w:t>. godini Internacionalni univerzi</w:t>
      </w:r>
      <w:r w:rsidR="00851436">
        <w:rPr>
          <w:rFonts w:ascii="Arial" w:hAnsi="Arial" w:cs="Arial"/>
          <w:sz w:val="24"/>
          <w:szCs w:val="24"/>
          <w:lang w:val="bs-Latn-BA"/>
        </w:rPr>
        <w:t xml:space="preserve">tet Travnik je organizovao </w:t>
      </w:r>
      <w:r>
        <w:rPr>
          <w:rFonts w:ascii="Arial" w:hAnsi="Arial" w:cs="Arial"/>
          <w:sz w:val="24"/>
          <w:szCs w:val="24"/>
          <w:lang w:val="bs-Latn-BA"/>
        </w:rPr>
        <w:t>3 konferencije; 2 stalne i jednu povremenu, koje</w:t>
      </w:r>
      <w:r w:rsidR="000815C1">
        <w:rPr>
          <w:rFonts w:ascii="Arial" w:hAnsi="Arial" w:cs="Arial"/>
          <w:sz w:val="24"/>
          <w:szCs w:val="24"/>
          <w:lang w:val="bs-Latn-BA"/>
        </w:rPr>
        <w:t xml:space="preserve"> su po svojoj organizaciji </w:t>
      </w:r>
      <w:r>
        <w:rPr>
          <w:rFonts w:ascii="Arial" w:hAnsi="Arial" w:cs="Arial"/>
          <w:sz w:val="24"/>
          <w:szCs w:val="24"/>
          <w:lang w:val="bs-Latn-BA"/>
        </w:rPr>
        <w:t>bile veoma uspješne.</w:t>
      </w:r>
    </w:p>
    <w:p w:rsidR="001219FE" w:rsidRDefault="001219FE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84CBF" w:rsidRPr="00284CBF" w:rsidRDefault="00284CBF" w:rsidP="00587EA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284CBF">
        <w:rPr>
          <w:rFonts w:ascii="Arial" w:hAnsi="Arial" w:cs="Arial"/>
          <w:sz w:val="24"/>
          <w:szCs w:val="24"/>
        </w:rPr>
        <w:t xml:space="preserve">Osnovni cilj </w:t>
      </w:r>
      <w:r w:rsidR="009B49D0">
        <w:rPr>
          <w:rFonts w:ascii="Arial" w:hAnsi="Arial" w:cs="Arial"/>
          <w:sz w:val="24"/>
          <w:szCs w:val="24"/>
        </w:rPr>
        <w:t xml:space="preserve">organizovanja ovakvih međunarodnih skupova jeste </w:t>
      </w:r>
      <w:r w:rsidRPr="00284CBF">
        <w:rPr>
          <w:rFonts w:ascii="Arial" w:hAnsi="Arial" w:cs="Arial"/>
          <w:sz w:val="24"/>
          <w:szCs w:val="24"/>
        </w:rPr>
        <w:t xml:space="preserve">razmatranje i način rješavanja </w:t>
      </w:r>
      <w:r w:rsidR="009B49D0">
        <w:rPr>
          <w:rFonts w:ascii="Arial" w:hAnsi="Arial" w:cs="Arial"/>
          <w:sz w:val="24"/>
          <w:szCs w:val="24"/>
        </w:rPr>
        <w:t xml:space="preserve">različith aktuelnih </w:t>
      </w:r>
      <w:r w:rsidRPr="00284CBF">
        <w:rPr>
          <w:rFonts w:ascii="Arial" w:hAnsi="Arial" w:cs="Arial"/>
          <w:sz w:val="24"/>
          <w:szCs w:val="24"/>
        </w:rPr>
        <w:t xml:space="preserve">problema, te razmjena naučno-istraživačkih i praktičnih saznanja i iskustava o mogućim </w:t>
      </w:r>
      <w:r w:rsidR="009B49D0">
        <w:rPr>
          <w:rFonts w:ascii="Arial" w:hAnsi="Arial" w:cs="Arial"/>
          <w:sz w:val="24"/>
          <w:szCs w:val="24"/>
        </w:rPr>
        <w:t>rješenjima danas i u budućnosti.</w:t>
      </w:r>
    </w:p>
    <w:p w:rsidR="00284CBF" w:rsidRDefault="00284CBF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F3C90" w:rsidRPr="00B56E73" w:rsidRDefault="00851436" w:rsidP="00B56E7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odnosu na pret</w:t>
      </w:r>
      <w:r w:rsidR="00FE3E0D">
        <w:rPr>
          <w:rFonts w:ascii="Arial" w:hAnsi="Arial" w:cs="Arial"/>
          <w:sz w:val="24"/>
          <w:szCs w:val="24"/>
          <w:lang w:val="bs-Latn-BA"/>
        </w:rPr>
        <w:t>hodnu</w:t>
      </w:r>
      <w:r w:rsidR="002F3C9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E3E0D">
        <w:rPr>
          <w:rFonts w:ascii="Arial" w:hAnsi="Arial" w:cs="Arial"/>
          <w:sz w:val="24"/>
          <w:szCs w:val="24"/>
          <w:lang w:val="bs-Latn-BA"/>
        </w:rPr>
        <w:t>godinu</w:t>
      </w:r>
      <w:r w:rsidR="00B56E73">
        <w:rPr>
          <w:rFonts w:ascii="Arial" w:hAnsi="Arial" w:cs="Arial"/>
          <w:sz w:val="24"/>
          <w:szCs w:val="24"/>
          <w:lang w:val="bs-Latn-BA"/>
        </w:rPr>
        <w:t xml:space="preserve"> povećao</w:t>
      </w:r>
      <w:r w:rsidR="007139B0">
        <w:rPr>
          <w:rFonts w:ascii="Arial" w:hAnsi="Arial" w:cs="Arial"/>
          <w:sz w:val="24"/>
          <w:szCs w:val="24"/>
          <w:lang w:val="bs-Latn-BA"/>
        </w:rPr>
        <w:t xml:space="preserve"> se ukupan broj objavljenih radova</w:t>
      </w:r>
      <w:r w:rsidR="00B56E73">
        <w:rPr>
          <w:rFonts w:ascii="Arial" w:hAnsi="Arial" w:cs="Arial"/>
          <w:sz w:val="24"/>
          <w:szCs w:val="24"/>
          <w:lang w:val="bs-Latn-BA"/>
        </w:rPr>
        <w:t xml:space="preserve"> kao i</w:t>
      </w:r>
      <w:r w:rsidR="00A61301">
        <w:rPr>
          <w:rFonts w:ascii="Arial" w:hAnsi="Arial" w:cs="Arial"/>
          <w:sz w:val="24"/>
          <w:szCs w:val="24"/>
          <w:lang w:val="bs-Latn-BA"/>
        </w:rPr>
        <w:t xml:space="preserve"> broj autora</w:t>
      </w:r>
      <w:r w:rsidR="00B56E73">
        <w:rPr>
          <w:rFonts w:ascii="Arial" w:hAnsi="Arial" w:cs="Arial"/>
          <w:sz w:val="24"/>
          <w:szCs w:val="24"/>
          <w:lang w:val="bs-Latn-BA"/>
        </w:rPr>
        <w:t xml:space="preserve"> te je održan </w:t>
      </w:r>
      <w:r>
        <w:rPr>
          <w:rFonts w:ascii="Arial" w:hAnsi="Arial" w:cs="Arial"/>
          <w:sz w:val="24"/>
          <w:szCs w:val="24"/>
          <w:lang w:val="bs-Latn-BA"/>
        </w:rPr>
        <w:t>kontinuitet u broju</w:t>
      </w:r>
      <w:r w:rsidR="009B49D0">
        <w:rPr>
          <w:rFonts w:ascii="Arial" w:hAnsi="Arial" w:cs="Arial"/>
          <w:sz w:val="24"/>
          <w:szCs w:val="24"/>
          <w:lang w:val="bs-Latn-BA"/>
        </w:rPr>
        <w:t xml:space="preserve"> međunarodnih autora koji objavljuju radove na engleskom jeziku,</w:t>
      </w:r>
      <w:r w:rsidR="007139B0">
        <w:rPr>
          <w:rFonts w:ascii="Arial" w:hAnsi="Arial" w:cs="Arial"/>
          <w:sz w:val="24"/>
          <w:szCs w:val="24"/>
          <w:lang w:val="bs-Latn-BA"/>
        </w:rPr>
        <w:t xml:space="preserve"> što zna</w:t>
      </w:r>
      <w:r w:rsidR="00B56E73">
        <w:rPr>
          <w:rFonts w:ascii="Arial" w:hAnsi="Arial" w:cs="Arial"/>
          <w:sz w:val="24"/>
          <w:szCs w:val="24"/>
          <w:lang w:val="bs-Latn-BA"/>
        </w:rPr>
        <w:t xml:space="preserve">či da konferencije </w:t>
      </w:r>
      <w:r w:rsidR="007139B0">
        <w:rPr>
          <w:rFonts w:ascii="Arial" w:hAnsi="Arial" w:cs="Arial"/>
          <w:sz w:val="24"/>
          <w:szCs w:val="24"/>
          <w:lang w:val="bs-Latn-BA"/>
        </w:rPr>
        <w:t>privlače sve veći broj autora i koautora prije svega onih koji nisu zaposleni na IUT tako i onih koji su zaposleni što doprinosi razvoju naučno-istraživačkog rada</w:t>
      </w:r>
      <w:r w:rsidR="009B49D0">
        <w:rPr>
          <w:rFonts w:ascii="Arial" w:hAnsi="Arial" w:cs="Arial"/>
          <w:sz w:val="24"/>
          <w:szCs w:val="24"/>
          <w:lang w:val="bs-Latn-BA"/>
        </w:rPr>
        <w:t xml:space="preserve"> IUT-a</w:t>
      </w:r>
      <w:r w:rsidR="007139B0">
        <w:rPr>
          <w:rFonts w:ascii="Arial" w:hAnsi="Arial" w:cs="Arial"/>
          <w:sz w:val="24"/>
          <w:szCs w:val="24"/>
          <w:lang w:val="bs-Latn-BA"/>
        </w:rPr>
        <w:t>.</w:t>
      </w: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2F3C90" w:rsidRPr="009C0740" w:rsidRDefault="009C074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>Svim učesnicima konferencij</w:t>
      </w:r>
      <w:r w:rsidR="00B56E73">
        <w:rPr>
          <w:rFonts w:ascii="Arial" w:hAnsi="Arial" w:cs="Arial"/>
          <w:sz w:val="24"/>
          <w:szCs w:val="24"/>
          <w:lang w:val="bs-Latn-BA" w:eastAsia="bs-Latn-BA"/>
        </w:rPr>
        <w:t>e</w:t>
      </w:r>
      <w:r>
        <w:rPr>
          <w:rFonts w:ascii="Arial" w:hAnsi="Arial" w:cs="Arial"/>
          <w:sz w:val="24"/>
          <w:szCs w:val="24"/>
          <w:lang w:val="bs-Latn-BA" w:eastAsia="bs-Latn-BA"/>
        </w:rPr>
        <w:t xml:space="preserve">, </w:t>
      </w:r>
      <w:r w:rsidRPr="009C0740">
        <w:rPr>
          <w:rFonts w:ascii="Arial" w:hAnsi="Arial" w:cs="Arial"/>
          <w:sz w:val="24"/>
          <w:szCs w:val="24"/>
          <w:lang w:val="bs-Latn-BA" w:eastAsia="bs-Latn-BA"/>
        </w:rPr>
        <w:t>nadležnim ministarstvima, institucijama i zainteresovanim korisnicim</w:t>
      </w:r>
      <w:r>
        <w:rPr>
          <w:rFonts w:ascii="Arial" w:hAnsi="Arial" w:cs="Arial"/>
          <w:sz w:val="24"/>
          <w:szCs w:val="24"/>
          <w:lang w:val="bs-Latn-BA" w:eastAsia="bs-Latn-BA"/>
        </w:rPr>
        <w:t xml:space="preserve">a nakon završene konferencije i </w:t>
      </w:r>
      <w:r w:rsidRPr="009C0740">
        <w:rPr>
          <w:rFonts w:ascii="Arial" w:hAnsi="Arial" w:cs="Arial"/>
          <w:sz w:val="24"/>
          <w:szCs w:val="24"/>
          <w:lang w:val="bs-Latn-BA" w:eastAsia="bs-Latn-BA"/>
        </w:rPr>
        <w:t>savjetovanja dostavljaju se zaključci i preporuke.</w:t>
      </w: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2F3C90" w:rsidRDefault="002F3C9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</w:p>
    <w:p w:rsidR="009C0740" w:rsidRDefault="009C074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>Prilog:</w:t>
      </w:r>
    </w:p>
    <w:p w:rsidR="009C0740" w:rsidRDefault="00B56E73" w:rsidP="009C0740">
      <w:pPr>
        <w:pStyle w:val="ListParagraph"/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Zaključci 26</w:t>
      </w:r>
      <w:r w:rsidR="005053BF">
        <w:rPr>
          <w:rFonts w:ascii="Arial" w:hAnsi="Arial" w:cs="Arial"/>
          <w:sz w:val="24"/>
          <w:szCs w:val="24"/>
          <w:lang w:eastAsia="bs-Latn-BA"/>
        </w:rPr>
        <w:t>. Međunarodna</w:t>
      </w:r>
      <w:r w:rsidR="00851436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5053BF">
        <w:rPr>
          <w:rFonts w:ascii="Arial" w:hAnsi="Arial" w:cs="Arial"/>
          <w:sz w:val="24"/>
          <w:szCs w:val="24"/>
          <w:lang w:eastAsia="bs-Latn-BA"/>
        </w:rPr>
        <w:t>konferencija</w:t>
      </w:r>
      <w:r>
        <w:rPr>
          <w:rFonts w:ascii="Arial" w:hAnsi="Arial" w:cs="Arial"/>
          <w:sz w:val="24"/>
          <w:szCs w:val="24"/>
          <w:lang w:eastAsia="bs-Latn-BA"/>
        </w:rPr>
        <w:t>,</w:t>
      </w:r>
    </w:p>
    <w:p w:rsidR="00B56E73" w:rsidRDefault="00B56E73" w:rsidP="009C0740">
      <w:pPr>
        <w:pStyle w:val="ListParagraph"/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Zaključci CCEDEP 2023.,</w:t>
      </w:r>
    </w:p>
    <w:p w:rsidR="002F3C90" w:rsidRDefault="00B56E73" w:rsidP="00284CBF">
      <w:pPr>
        <w:pStyle w:val="ListParagraph"/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Zaključci 27</w:t>
      </w:r>
      <w:r w:rsidR="00851436">
        <w:rPr>
          <w:rFonts w:ascii="Arial" w:hAnsi="Arial" w:cs="Arial"/>
          <w:sz w:val="24"/>
          <w:szCs w:val="24"/>
          <w:lang w:eastAsia="bs-Latn-BA"/>
        </w:rPr>
        <w:t>. Međunarodna konferencija</w:t>
      </w:r>
      <w:r>
        <w:rPr>
          <w:rFonts w:ascii="Arial" w:hAnsi="Arial" w:cs="Arial"/>
          <w:sz w:val="24"/>
          <w:szCs w:val="24"/>
          <w:lang w:eastAsia="bs-Latn-BA"/>
        </w:rPr>
        <w:t>.</w:t>
      </w:r>
    </w:p>
    <w:p w:rsidR="000815C1" w:rsidRPr="00A61301" w:rsidRDefault="000815C1" w:rsidP="00851436">
      <w:pPr>
        <w:pStyle w:val="ListParagraph"/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</w:p>
    <w:sectPr w:rsidR="000815C1" w:rsidRPr="00A61301" w:rsidSect="00CC2BA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07" w:rsidRDefault="003F7A07" w:rsidP="00D31783">
      <w:r>
        <w:separator/>
      </w:r>
    </w:p>
  </w:endnote>
  <w:endnote w:type="continuationSeparator" w:id="0">
    <w:p w:rsidR="003F7A07" w:rsidRDefault="003F7A0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04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6A4" w:rsidRDefault="003F56BC">
        <w:pPr>
          <w:pStyle w:val="Footer"/>
          <w:jc w:val="right"/>
        </w:pPr>
        <w:r>
          <w:rPr>
            <w:noProof/>
          </w:rPr>
          <w:pict w14:anchorId="3B49AF62">
            <v:group id="_x0000_s2097" style="position:absolute;left:0;text-align:left;margin-left:-22.8pt;margin-top:-55.65pt;width:513.65pt;height:55.9pt;z-index:251659264;mso-position-horizontal-relative:text;mso-position-vertical-relative:text" coordorigin="1157,14371" coordsize="10273,1118">
              <v:group id="_x0000_s2098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99" type="#_x0000_t202" style="position:absolute;left:1172;top:14371;width:3363;height:1118" stroked="f">
                  <v:textbox style="mso-next-textbox:#_x0000_s2099">
                    <w:txbxContent>
                      <w:p w:rsidR="007426A4" w:rsidRDefault="007426A4" w:rsidP="007426A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Konzula-Meljanac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7426A4" w:rsidRPr="000F4A8F" w:rsidRDefault="007426A4" w:rsidP="007426A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7426A4" w:rsidRPr="000F4A8F" w:rsidRDefault="007426A4" w:rsidP="007426A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7426A4" w:rsidRPr="000F4A8F" w:rsidRDefault="007426A4" w:rsidP="007426A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7426A4" w:rsidRPr="000F4A8F" w:rsidRDefault="003F56BC" w:rsidP="007426A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="007426A4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7426A4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100" type="#_x0000_t202" style="position:absolute;left:7812;top:14377;width:3633;height:1107" stroked="f">
                  <v:textbox style="mso-next-textbox:#_x0000_s2100">
                    <w:txbxContent>
                      <w:p w:rsidR="007426A4" w:rsidRPr="000F4A8F" w:rsidRDefault="007426A4" w:rsidP="007426A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7426A4" w:rsidRPr="000F4A8F" w:rsidRDefault="007426A4" w:rsidP="007426A4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7426A4" w:rsidRPr="000F4A8F" w:rsidRDefault="007426A4" w:rsidP="007426A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7426A4" w:rsidRPr="000F4A8F" w:rsidRDefault="007426A4" w:rsidP="007426A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7426A4" w:rsidRPr="000F4A8F" w:rsidRDefault="007426A4" w:rsidP="007426A4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01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102" type="#_x0000_t32" style="position:absolute;left:1304;top:14371;width:9962;height:1" o:connectortype="straight"/>
              <w10:wrap type="square"/>
            </v:group>
          </w:pict>
        </w:r>
        <w:r w:rsidR="007426A4">
          <w:fldChar w:fldCharType="begin"/>
        </w:r>
        <w:r w:rsidR="007426A4">
          <w:instrText xml:space="preserve"> PAGE   \* MERGEFORMAT </w:instrText>
        </w:r>
        <w:r w:rsidR="007426A4">
          <w:fldChar w:fldCharType="separate"/>
        </w:r>
        <w:r>
          <w:rPr>
            <w:noProof/>
          </w:rPr>
          <w:t>1</w:t>
        </w:r>
        <w:r w:rsidR="007426A4">
          <w:rPr>
            <w:noProof/>
          </w:rPr>
          <w:fldChar w:fldCharType="end"/>
        </w:r>
      </w:p>
    </w:sdtContent>
  </w:sdt>
  <w:p w:rsidR="003F7A07" w:rsidRDefault="003F7A0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07" w:rsidRDefault="003F7A07" w:rsidP="00D31783">
      <w:r>
        <w:separator/>
      </w:r>
    </w:p>
  </w:footnote>
  <w:footnote w:type="continuationSeparator" w:id="0">
    <w:p w:rsidR="003F7A07" w:rsidRDefault="003F7A0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07" w:rsidRDefault="003F56BC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3F7A07" w:rsidRDefault="003F7A07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3F7A07" w:rsidRDefault="003F7A07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3F7A07" w:rsidRDefault="003F7A07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3F7A07" w:rsidRDefault="003F7A07">
    <w:pPr>
      <w:pStyle w:val="Header"/>
    </w:pPr>
  </w:p>
  <w:p w:rsidR="003F7A07" w:rsidRDefault="003F7A07">
    <w:pPr>
      <w:pStyle w:val="Header"/>
    </w:pPr>
  </w:p>
  <w:p w:rsidR="003F7A07" w:rsidRDefault="003F7A07">
    <w:pPr>
      <w:pStyle w:val="Header"/>
    </w:pPr>
  </w:p>
  <w:p w:rsidR="003F7A07" w:rsidRDefault="003F7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B77DB"/>
    <w:multiLevelType w:val="hybridMultilevel"/>
    <w:tmpl w:val="F8F2FBB4"/>
    <w:lvl w:ilvl="0" w:tplc="DE0C0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79"/>
    <w:multiLevelType w:val="hybridMultilevel"/>
    <w:tmpl w:val="06E6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1AA"/>
    <w:multiLevelType w:val="hybridMultilevel"/>
    <w:tmpl w:val="A3FA5E0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F4132C"/>
    <w:multiLevelType w:val="hybridMultilevel"/>
    <w:tmpl w:val="6528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D20"/>
    <w:multiLevelType w:val="hybridMultilevel"/>
    <w:tmpl w:val="7FC64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325D0"/>
    <w:multiLevelType w:val="hybridMultilevel"/>
    <w:tmpl w:val="A7A0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0E4C"/>
    <w:multiLevelType w:val="hybridMultilevel"/>
    <w:tmpl w:val="61045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C7CB4"/>
    <w:multiLevelType w:val="hybridMultilevel"/>
    <w:tmpl w:val="C9DEDE10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66B2A"/>
    <w:multiLevelType w:val="hybridMultilevel"/>
    <w:tmpl w:val="CFB4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DC4"/>
    <w:multiLevelType w:val="hybridMultilevel"/>
    <w:tmpl w:val="85966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93462"/>
    <w:multiLevelType w:val="hybridMultilevel"/>
    <w:tmpl w:val="A476F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D1CD1"/>
    <w:multiLevelType w:val="hybridMultilevel"/>
    <w:tmpl w:val="AB6E0CA4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85BA7"/>
    <w:multiLevelType w:val="hybridMultilevel"/>
    <w:tmpl w:val="E01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63CB0"/>
    <w:multiLevelType w:val="hybridMultilevel"/>
    <w:tmpl w:val="8544E11A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F34E3"/>
    <w:multiLevelType w:val="hybridMultilevel"/>
    <w:tmpl w:val="49769B46"/>
    <w:lvl w:ilvl="0" w:tplc="603088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11D4"/>
    <w:multiLevelType w:val="hybridMultilevel"/>
    <w:tmpl w:val="568EF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E73A4"/>
    <w:multiLevelType w:val="hybridMultilevel"/>
    <w:tmpl w:val="154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E7E21"/>
    <w:multiLevelType w:val="hybridMultilevel"/>
    <w:tmpl w:val="FF90CA1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1A2"/>
    <w:multiLevelType w:val="hybridMultilevel"/>
    <w:tmpl w:val="271A8E16"/>
    <w:lvl w:ilvl="0" w:tplc="92B6D0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80EBA"/>
    <w:multiLevelType w:val="hybridMultilevel"/>
    <w:tmpl w:val="B83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0450E"/>
    <w:multiLevelType w:val="hybridMultilevel"/>
    <w:tmpl w:val="BC267CAE"/>
    <w:lvl w:ilvl="0" w:tplc="F35A7A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C3207"/>
    <w:multiLevelType w:val="hybridMultilevel"/>
    <w:tmpl w:val="CAA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674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D6726A8"/>
    <w:multiLevelType w:val="hybridMultilevel"/>
    <w:tmpl w:val="516E5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0"/>
  </w:num>
  <w:num w:numId="5">
    <w:abstractNumId w:val="22"/>
  </w:num>
  <w:num w:numId="6">
    <w:abstractNumId w:val="16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9"/>
  </w:num>
  <w:num w:numId="14">
    <w:abstractNumId w:val="17"/>
  </w:num>
  <w:num w:numId="15">
    <w:abstractNumId w:val="5"/>
  </w:num>
  <w:num w:numId="16">
    <w:abstractNumId w:val="11"/>
  </w:num>
  <w:num w:numId="17">
    <w:abstractNumId w:val="25"/>
  </w:num>
  <w:num w:numId="18">
    <w:abstractNumId w:val="3"/>
  </w:num>
  <w:num w:numId="19">
    <w:abstractNumId w:val="10"/>
  </w:num>
  <w:num w:numId="20">
    <w:abstractNumId w:val="14"/>
  </w:num>
  <w:num w:numId="21">
    <w:abstractNumId w:val="8"/>
  </w:num>
  <w:num w:numId="22">
    <w:abstractNumId w:val="15"/>
  </w:num>
  <w:num w:numId="23">
    <w:abstractNumId w:val="23"/>
  </w:num>
  <w:num w:numId="24">
    <w:abstractNumId w:val="2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105"/>
    <o:shapelayout v:ext="edit">
      <o:idmap v:ext="edit" data="2"/>
      <o:rules v:ext="edit">
        <o:r id="V:Rule10" type="connector" idref="#_x0000_s2053"/>
        <o:r id="V:Rule11" type="connector" idref="#_x0000_s2051"/>
        <o:r id="V:Rule12" type="connector" idref="#_x0000_s2102"/>
        <o:r id="V:Rule13" type="connector" idref="#_x0000_s2061"/>
        <o:r id="V:Rule14" type="connector" idref="#_x0000_s2054"/>
        <o:r id="V:Rule15" type="connector" idref="#_x0000_s2060"/>
        <o:r id="V:Rule16" type="connector" idref="#_x0000_s2058"/>
        <o:r id="V:Rule17" type="connector" idref="#_x0000_s2052"/>
        <o:r id="V:Rule18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3C83"/>
    <w:rsid w:val="000159BF"/>
    <w:rsid w:val="000512D4"/>
    <w:rsid w:val="000560F7"/>
    <w:rsid w:val="000815C1"/>
    <w:rsid w:val="0009084B"/>
    <w:rsid w:val="00091BFD"/>
    <w:rsid w:val="00093301"/>
    <w:rsid w:val="000A25CF"/>
    <w:rsid w:val="000C37D2"/>
    <w:rsid w:val="000C6D44"/>
    <w:rsid w:val="000E65F5"/>
    <w:rsid w:val="000F52DB"/>
    <w:rsid w:val="000F53B6"/>
    <w:rsid w:val="000F61F1"/>
    <w:rsid w:val="00114C78"/>
    <w:rsid w:val="001219FE"/>
    <w:rsid w:val="00122A51"/>
    <w:rsid w:val="00132401"/>
    <w:rsid w:val="001358FD"/>
    <w:rsid w:val="001369BD"/>
    <w:rsid w:val="00140AC9"/>
    <w:rsid w:val="001447FB"/>
    <w:rsid w:val="0014604A"/>
    <w:rsid w:val="0014721F"/>
    <w:rsid w:val="00151604"/>
    <w:rsid w:val="00151FA2"/>
    <w:rsid w:val="001520DE"/>
    <w:rsid w:val="001810C3"/>
    <w:rsid w:val="00182691"/>
    <w:rsid w:val="00196B19"/>
    <w:rsid w:val="00196CAD"/>
    <w:rsid w:val="001C7E81"/>
    <w:rsid w:val="001D1A45"/>
    <w:rsid w:val="001D4105"/>
    <w:rsid w:val="002056A4"/>
    <w:rsid w:val="00223A03"/>
    <w:rsid w:val="002349EC"/>
    <w:rsid w:val="002369CD"/>
    <w:rsid w:val="00236EDF"/>
    <w:rsid w:val="002412E1"/>
    <w:rsid w:val="00242034"/>
    <w:rsid w:val="002523D5"/>
    <w:rsid w:val="0026731C"/>
    <w:rsid w:val="002713EF"/>
    <w:rsid w:val="00271C15"/>
    <w:rsid w:val="00272C85"/>
    <w:rsid w:val="00281A21"/>
    <w:rsid w:val="00281FAE"/>
    <w:rsid w:val="00284CBF"/>
    <w:rsid w:val="00294357"/>
    <w:rsid w:val="0029764D"/>
    <w:rsid w:val="002A0BE2"/>
    <w:rsid w:val="002C00D2"/>
    <w:rsid w:val="002C2286"/>
    <w:rsid w:val="002C449C"/>
    <w:rsid w:val="002F120F"/>
    <w:rsid w:val="002F3C90"/>
    <w:rsid w:val="002F3E6A"/>
    <w:rsid w:val="002F65D9"/>
    <w:rsid w:val="00301E2C"/>
    <w:rsid w:val="003037BA"/>
    <w:rsid w:val="00317593"/>
    <w:rsid w:val="00335C56"/>
    <w:rsid w:val="0033797C"/>
    <w:rsid w:val="0035307E"/>
    <w:rsid w:val="00362B71"/>
    <w:rsid w:val="0036693A"/>
    <w:rsid w:val="00394F72"/>
    <w:rsid w:val="003A15C1"/>
    <w:rsid w:val="003D571B"/>
    <w:rsid w:val="003D6B6B"/>
    <w:rsid w:val="003E03D6"/>
    <w:rsid w:val="003E3FF6"/>
    <w:rsid w:val="003F56BC"/>
    <w:rsid w:val="003F7A07"/>
    <w:rsid w:val="0040497B"/>
    <w:rsid w:val="00413B0E"/>
    <w:rsid w:val="00415225"/>
    <w:rsid w:val="0042591E"/>
    <w:rsid w:val="00425A47"/>
    <w:rsid w:val="004304B1"/>
    <w:rsid w:val="004342F3"/>
    <w:rsid w:val="00443749"/>
    <w:rsid w:val="00483591"/>
    <w:rsid w:val="00484322"/>
    <w:rsid w:val="00492BFB"/>
    <w:rsid w:val="004A5E45"/>
    <w:rsid w:val="004A7AA2"/>
    <w:rsid w:val="004A7D4B"/>
    <w:rsid w:val="004B7A37"/>
    <w:rsid w:val="004D2B3A"/>
    <w:rsid w:val="004E5682"/>
    <w:rsid w:val="004F3038"/>
    <w:rsid w:val="00504134"/>
    <w:rsid w:val="005053BF"/>
    <w:rsid w:val="005068D9"/>
    <w:rsid w:val="0051117F"/>
    <w:rsid w:val="00514CEB"/>
    <w:rsid w:val="00524499"/>
    <w:rsid w:val="00527098"/>
    <w:rsid w:val="00542F48"/>
    <w:rsid w:val="005628C3"/>
    <w:rsid w:val="005764DB"/>
    <w:rsid w:val="00587D69"/>
    <w:rsid w:val="00587EA7"/>
    <w:rsid w:val="00594B10"/>
    <w:rsid w:val="00594DFE"/>
    <w:rsid w:val="005A00B9"/>
    <w:rsid w:val="005A5CDB"/>
    <w:rsid w:val="005B1F2E"/>
    <w:rsid w:val="005B7E9C"/>
    <w:rsid w:val="005E4568"/>
    <w:rsid w:val="00600E59"/>
    <w:rsid w:val="00615C1B"/>
    <w:rsid w:val="00637E70"/>
    <w:rsid w:val="00650D5D"/>
    <w:rsid w:val="00651888"/>
    <w:rsid w:val="00654F88"/>
    <w:rsid w:val="006820B4"/>
    <w:rsid w:val="00691FAD"/>
    <w:rsid w:val="006C1289"/>
    <w:rsid w:val="006D0AB9"/>
    <w:rsid w:val="006D5F15"/>
    <w:rsid w:val="006F64E9"/>
    <w:rsid w:val="00702F8B"/>
    <w:rsid w:val="007139B0"/>
    <w:rsid w:val="00717066"/>
    <w:rsid w:val="007426A4"/>
    <w:rsid w:val="007456B2"/>
    <w:rsid w:val="0075598F"/>
    <w:rsid w:val="00774EB2"/>
    <w:rsid w:val="0077695C"/>
    <w:rsid w:val="00790C6D"/>
    <w:rsid w:val="0079146C"/>
    <w:rsid w:val="00797517"/>
    <w:rsid w:val="00797C18"/>
    <w:rsid w:val="007A446E"/>
    <w:rsid w:val="007B2B41"/>
    <w:rsid w:val="007C6D21"/>
    <w:rsid w:val="007D0A3A"/>
    <w:rsid w:val="007D3DEA"/>
    <w:rsid w:val="007E0115"/>
    <w:rsid w:val="007E1FDD"/>
    <w:rsid w:val="007E7D6B"/>
    <w:rsid w:val="007F2545"/>
    <w:rsid w:val="007F6693"/>
    <w:rsid w:val="00801EE0"/>
    <w:rsid w:val="00802AFD"/>
    <w:rsid w:val="00804497"/>
    <w:rsid w:val="00812347"/>
    <w:rsid w:val="00812809"/>
    <w:rsid w:val="00815FB7"/>
    <w:rsid w:val="0081640D"/>
    <w:rsid w:val="0082050E"/>
    <w:rsid w:val="0082180A"/>
    <w:rsid w:val="0083023D"/>
    <w:rsid w:val="00834D37"/>
    <w:rsid w:val="00840E5B"/>
    <w:rsid w:val="00851436"/>
    <w:rsid w:val="0086250F"/>
    <w:rsid w:val="00873F0D"/>
    <w:rsid w:val="00881420"/>
    <w:rsid w:val="008B5A48"/>
    <w:rsid w:val="008C425B"/>
    <w:rsid w:val="008D15C2"/>
    <w:rsid w:val="008D5DD2"/>
    <w:rsid w:val="008E451E"/>
    <w:rsid w:val="008E5156"/>
    <w:rsid w:val="00904980"/>
    <w:rsid w:val="00907611"/>
    <w:rsid w:val="009304E7"/>
    <w:rsid w:val="009317D7"/>
    <w:rsid w:val="00936326"/>
    <w:rsid w:val="00944B43"/>
    <w:rsid w:val="009453AC"/>
    <w:rsid w:val="0096347E"/>
    <w:rsid w:val="00974012"/>
    <w:rsid w:val="00974F5E"/>
    <w:rsid w:val="009750F2"/>
    <w:rsid w:val="0098197A"/>
    <w:rsid w:val="00984A79"/>
    <w:rsid w:val="009872DB"/>
    <w:rsid w:val="009B49D0"/>
    <w:rsid w:val="009C0740"/>
    <w:rsid w:val="009C609A"/>
    <w:rsid w:val="009D2FB3"/>
    <w:rsid w:val="009D693F"/>
    <w:rsid w:val="009E253C"/>
    <w:rsid w:val="009F2D30"/>
    <w:rsid w:val="009F4BC7"/>
    <w:rsid w:val="009F6717"/>
    <w:rsid w:val="009F6A3F"/>
    <w:rsid w:val="00A02AFE"/>
    <w:rsid w:val="00A03DD8"/>
    <w:rsid w:val="00A140F0"/>
    <w:rsid w:val="00A336D2"/>
    <w:rsid w:val="00A34037"/>
    <w:rsid w:val="00A34E63"/>
    <w:rsid w:val="00A45E5C"/>
    <w:rsid w:val="00A557E2"/>
    <w:rsid w:val="00A6121A"/>
    <w:rsid w:val="00A61301"/>
    <w:rsid w:val="00A82115"/>
    <w:rsid w:val="00A9518E"/>
    <w:rsid w:val="00AA1E79"/>
    <w:rsid w:val="00AB3FA1"/>
    <w:rsid w:val="00AC09F5"/>
    <w:rsid w:val="00AC7248"/>
    <w:rsid w:val="00AE616C"/>
    <w:rsid w:val="00AF5AD8"/>
    <w:rsid w:val="00B220AE"/>
    <w:rsid w:val="00B25965"/>
    <w:rsid w:val="00B35A5B"/>
    <w:rsid w:val="00B4291E"/>
    <w:rsid w:val="00B42EB3"/>
    <w:rsid w:val="00B45BD7"/>
    <w:rsid w:val="00B50C74"/>
    <w:rsid w:val="00B525E1"/>
    <w:rsid w:val="00B54831"/>
    <w:rsid w:val="00B56E73"/>
    <w:rsid w:val="00B6661F"/>
    <w:rsid w:val="00B83F35"/>
    <w:rsid w:val="00B97240"/>
    <w:rsid w:val="00BA1A7F"/>
    <w:rsid w:val="00BA1AA8"/>
    <w:rsid w:val="00BC03C0"/>
    <w:rsid w:val="00BC703B"/>
    <w:rsid w:val="00BC734E"/>
    <w:rsid w:val="00BD0877"/>
    <w:rsid w:val="00BD231E"/>
    <w:rsid w:val="00BD654E"/>
    <w:rsid w:val="00BE091B"/>
    <w:rsid w:val="00BE0DC3"/>
    <w:rsid w:val="00BE5737"/>
    <w:rsid w:val="00BE7260"/>
    <w:rsid w:val="00BF60C4"/>
    <w:rsid w:val="00C00910"/>
    <w:rsid w:val="00C07D36"/>
    <w:rsid w:val="00C10669"/>
    <w:rsid w:val="00C11A66"/>
    <w:rsid w:val="00C35EDF"/>
    <w:rsid w:val="00C42CC1"/>
    <w:rsid w:val="00C65CEA"/>
    <w:rsid w:val="00C665D4"/>
    <w:rsid w:val="00C738BB"/>
    <w:rsid w:val="00C7465F"/>
    <w:rsid w:val="00C83707"/>
    <w:rsid w:val="00C8675F"/>
    <w:rsid w:val="00C9576B"/>
    <w:rsid w:val="00C965D9"/>
    <w:rsid w:val="00CB0518"/>
    <w:rsid w:val="00CC2BA8"/>
    <w:rsid w:val="00CE1DEA"/>
    <w:rsid w:val="00D31608"/>
    <w:rsid w:val="00D31783"/>
    <w:rsid w:val="00D360B0"/>
    <w:rsid w:val="00D379E7"/>
    <w:rsid w:val="00D60B50"/>
    <w:rsid w:val="00D61079"/>
    <w:rsid w:val="00D6709B"/>
    <w:rsid w:val="00D7074E"/>
    <w:rsid w:val="00D75C1C"/>
    <w:rsid w:val="00D77500"/>
    <w:rsid w:val="00DC298F"/>
    <w:rsid w:val="00DC2A3E"/>
    <w:rsid w:val="00DF1379"/>
    <w:rsid w:val="00DF3E0B"/>
    <w:rsid w:val="00DF4FA1"/>
    <w:rsid w:val="00DF5561"/>
    <w:rsid w:val="00E05B1C"/>
    <w:rsid w:val="00E073B8"/>
    <w:rsid w:val="00E07EA1"/>
    <w:rsid w:val="00E1160D"/>
    <w:rsid w:val="00E20B05"/>
    <w:rsid w:val="00E2233C"/>
    <w:rsid w:val="00E31107"/>
    <w:rsid w:val="00E4120B"/>
    <w:rsid w:val="00E6243C"/>
    <w:rsid w:val="00E62576"/>
    <w:rsid w:val="00E6773E"/>
    <w:rsid w:val="00E73D40"/>
    <w:rsid w:val="00E8612D"/>
    <w:rsid w:val="00E9746E"/>
    <w:rsid w:val="00EA5953"/>
    <w:rsid w:val="00EB4911"/>
    <w:rsid w:val="00EC099B"/>
    <w:rsid w:val="00ED0F03"/>
    <w:rsid w:val="00ED516A"/>
    <w:rsid w:val="00EE7EC0"/>
    <w:rsid w:val="00F075F1"/>
    <w:rsid w:val="00F155C9"/>
    <w:rsid w:val="00F1773C"/>
    <w:rsid w:val="00F31AA4"/>
    <w:rsid w:val="00F35EA7"/>
    <w:rsid w:val="00F51AFA"/>
    <w:rsid w:val="00F51E9F"/>
    <w:rsid w:val="00F62737"/>
    <w:rsid w:val="00F65369"/>
    <w:rsid w:val="00F87E66"/>
    <w:rsid w:val="00F942D7"/>
    <w:rsid w:val="00F96A47"/>
    <w:rsid w:val="00FB673E"/>
    <w:rsid w:val="00FC0B15"/>
    <w:rsid w:val="00FC65EE"/>
    <w:rsid w:val="00FD4611"/>
    <w:rsid w:val="00FE1D58"/>
    <w:rsid w:val="00FE3E0D"/>
    <w:rsid w:val="00FF17C0"/>
    <w:rsid w:val="00FF39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4B5C59AF"/>
  <w15:docId w15:val="{D0621F74-1184-40D3-AF61-39B81A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196CAD"/>
    <w:pPr>
      <w:keepNext/>
      <w:keepLines/>
      <w:numPr>
        <w:numId w:val="24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196CAD"/>
    <w:pPr>
      <w:numPr>
        <w:ilvl w:val="1"/>
        <w:numId w:val="24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FA1"/>
    <w:pPr>
      <w:keepNext/>
      <w:keepLines/>
      <w:numPr>
        <w:ilvl w:val="2"/>
        <w:numId w:val="24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CAD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CAD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CAD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CAD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CAD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CAD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196CAD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39"/>
    <w:rsid w:val="00963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C42C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42C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C6D21"/>
    <w:rPr>
      <w:b/>
      <w:bCs/>
    </w:rPr>
  </w:style>
  <w:style w:type="table" w:styleId="GridTable5Dark-Accent2">
    <w:name w:val="Grid Table 5 Dark Accent 2"/>
    <w:basedOn w:val="TableNormal"/>
    <w:uiPriority w:val="50"/>
    <w:rsid w:val="007C6D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96CAD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3FA1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C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C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C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C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C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C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B3FA1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B3F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3F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B3FA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6F5-4120-97B3-CD11EBB4723D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6F5-4120-97B3-CD11EBB4723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ostali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F5-4120-97B3-CD11EBB4723D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04-47E3-89B6-F03B7B061A0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04-47E3-89B6-F03B7B061A0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i koautora ostali</c:v>
                </c:pt>
                <c:pt idx="1">
                  <c:v>Broj autora i koautora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115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04-47E3-89B6-F03B7B061A0A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2FA-4397-85AD-A9DE186134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2FA-4397-85AD-A9DE186134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2FA-4397-85AD-A9DE186134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2FA-4397-85AD-A9DE186134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2FA-4397-85AD-A9DE186134A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2FA-4397-85AD-A9DE186134A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2FA-4397-85AD-A9DE186134A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EFT</c:v>
                </c:pt>
                <c:pt idx="1">
                  <c:v>FPTN</c:v>
                </c:pt>
                <c:pt idx="2">
                  <c:v>PFT</c:v>
                </c:pt>
                <c:pt idx="3">
                  <c:v>SFT</c:v>
                </c:pt>
                <c:pt idx="4">
                  <c:v>FIT</c:v>
                </c:pt>
                <c:pt idx="5">
                  <c:v>TEF</c:v>
                </c:pt>
                <c:pt idx="6">
                  <c:v>FMIK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18</c:v>
                </c:pt>
                <c:pt idx="1">
                  <c:v>21</c:v>
                </c:pt>
                <c:pt idx="2">
                  <c:v>6</c:v>
                </c:pt>
                <c:pt idx="3">
                  <c:v>9</c:v>
                </c:pt>
                <c:pt idx="4">
                  <c:v>14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2FA-4397-85AD-A9DE186134A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Ukupan broj autora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64</c:v>
                </c:pt>
                <c:pt idx="1">
                  <c:v>119</c:v>
                </c:pt>
                <c:pt idx="2">
                  <c:v>198</c:v>
                </c:pt>
                <c:pt idx="3">
                  <c:v>294</c:v>
                </c:pt>
                <c:pt idx="4">
                  <c:v>269</c:v>
                </c:pt>
                <c:pt idx="5">
                  <c:v>194</c:v>
                </c:pt>
                <c:pt idx="6">
                  <c:v>202</c:v>
                </c:pt>
                <c:pt idx="7">
                  <c:v>305</c:v>
                </c:pt>
                <c:pt idx="8">
                  <c:v>226</c:v>
                </c:pt>
                <c:pt idx="9">
                  <c:v>226</c:v>
                </c:pt>
                <c:pt idx="10">
                  <c:v>244</c:v>
                </c:pt>
                <c:pt idx="11">
                  <c:v>278</c:v>
                </c:pt>
                <c:pt idx="12">
                  <c:v>220</c:v>
                </c:pt>
                <c:pt idx="13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C4-4B79-A78A-B36EE732E2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Broj autora sa IUT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Sheet1!$A$2:$A$15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14</c:v>
                </c:pt>
                <c:pt idx="1">
                  <c:v>18</c:v>
                </c:pt>
                <c:pt idx="2">
                  <c:v>54</c:v>
                </c:pt>
                <c:pt idx="3">
                  <c:v>113</c:v>
                </c:pt>
                <c:pt idx="4">
                  <c:v>80</c:v>
                </c:pt>
                <c:pt idx="5">
                  <c:v>77</c:v>
                </c:pt>
                <c:pt idx="6">
                  <c:v>74</c:v>
                </c:pt>
                <c:pt idx="7">
                  <c:v>109</c:v>
                </c:pt>
                <c:pt idx="8">
                  <c:v>88</c:v>
                </c:pt>
                <c:pt idx="9">
                  <c:v>88</c:v>
                </c:pt>
                <c:pt idx="10">
                  <c:v>134</c:v>
                </c:pt>
                <c:pt idx="11">
                  <c:v>91</c:v>
                </c:pt>
                <c:pt idx="12">
                  <c:v>58</c:v>
                </c:pt>
                <c:pt idx="1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C4-4B79-A78A-B36EE732E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321072"/>
        <c:axId val="995324816"/>
      </c:barChart>
      <c:catAx>
        <c:axId val="99532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324816"/>
        <c:crosses val="autoZero"/>
        <c:auto val="1"/>
        <c:lblAlgn val="ctr"/>
        <c:lblOffset val="100"/>
        <c:noMultiLvlLbl val="0"/>
      </c:catAx>
      <c:valAx>
        <c:axId val="99532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32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Ukupan broj radova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36</c:v>
                </c:pt>
                <c:pt idx="1">
                  <c:v>60</c:v>
                </c:pt>
                <c:pt idx="2">
                  <c:v>106</c:v>
                </c:pt>
                <c:pt idx="3">
                  <c:v>184</c:v>
                </c:pt>
                <c:pt idx="4">
                  <c:v>162</c:v>
                </c:pt>
                <c:pt idx="5">
                  <c:v>93</c:v>
                </c:pt>
                <c:pt idx="6">
                  <c:v>128</c:v>
                </c:pt>
                <c:pt idx="7">
                  <c:v>144</c:v>
                </c:pt>
                <c:pt idx="8">
                  <c:v>127</c:v>
                </c:pt>
                <c:pt idx="9">
                  <c:v>106</c:v>
                </c:pt>
                <c:pt idx="10">
                  <c:v>144</c:v>
                </c:pt>
                <c:pt idx="11">
                  <c:v>107</c:v>
                </c:pt>
                <c:pt idx="12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F-421C-B670-A5EA640145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Broj radova sa IUT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16</c:v>
                </c:pt>
                <c:pt idx="1">
                  <c:v>16</c:v>
                </c:pt>
                <c:pt idx="2">
                  <c:v>27</c:v>
                </c:pt>
                <c:pt idx="3">
                  <c:v>84</c:v>
                </c:pt>
                <c:pt idx="4">
                  <c:v>66</c:v>
                </c:pt>
                <c:pt idx="5">
                  <c:v>39</c:v>
                </c:pt>
                <c:pt idx="6">
                  <c:v>54</c:v>
                </c:pt>
                <c:pt idx="7">
                  <c:v>67</c:v>
                </c:pt>
                <c:pt idx="8">
                  <c:v>58</c:v>
                </c:pt>
                <c:pt idx="9">
                  <c:v>55</c:v>
                </c:pt>
                <c:pt idx="10">
                  <c:v>63</c:v>
                </c:pt>
                <c:pt idx="11">
                  <c:v>44</c:v>
                </c:pt>
                <c:pt idx="1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F-421C-B670-A5EA64014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9655248"/>
        <c:axId val="1199648176"/>
      </c:barChart>
      <c:catAx>
        <c:axId val="119965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9648176"/>
        <c:crosses val="autoZero"/>
        <c:auto val="1"/>
        <c:lblAlgn val="ctr"/>
        <c:lblOffset val="100"/>
        <c:noMultiLvlLbl val="0"/>
      </c:catAx>
      <c:valAx>
        <c:axId val="119964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965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UKUPNO</c:v>
                </c:pt>
                <c:pt idx="1">
                  <c:v>I CIKLUS</c:v>
                </c:pt>
                <c:pt idx="2">
                  <c:v>II CIKLUS</c:v>
                </c:pt>
                <c:pt idx="3">
                  <c:v>III CIKLUS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20</c:v>
                </c:pt>
                <c:pt idx="2">
                  <c:v>2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6-4FA5-883D-DAAAAC06B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7003935"/>
        <c:axId val="1616998111"/>
      </c:barChart>
      <c:catAx>
        <c:axId val="16170039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998111"/>
        <c:crosses val="autoZero"/>
        <c:auto val="1"/>
        <c:lblAlgn val="ctr"/>
        <c:lblOffset val="100"/>
        <c:noMultiLvlLbl val="0"/>
      </c:catAx>
      <c:valAx>
        <c:axId val="16169981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7003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184A-A54B-4433-849B-BE9B0E21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25</Pages>
  <Words>5225</Words>
  <Characters>29788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69</cp:revision>
  <cp:lastPrinted>2023-02-21T11:19:00Z</cp:lastPrinted>
  <dcterms:created xsi:type="dcterms:W3CDTF">2015-11-05T14:43:00Z</dcterms:created>
  <dcterms:modified xsi:type="dcterms:W3CDTF">2024-03-22T10:13:00Z</dcterms:modified>
</cp:coreProperties>
</file>